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69" w:rsidRPr="00CD60B5" w:rsidRDefault="00395B69" w:rsidP="00DB318D">
      <w:pPr>
        <w:keepNext w:val="0"/>
        <w:keepLines w:val="0"/>
        <w:spacing w:before="480" w:after="480" w:line="240" w:lineRule="auto"/>
        <w:jc w:val="center"/>
        <w:rPr>
          <w:rFonts w:ascii="Calibri" w:eastAsia="Times New Roman" w:hAnsi="Calibri" w:cs="Calibri"/>
          <w:sz w:val="28"/>
          <w:szCs w:val="24"/>
          <w:lang w:val="en-GB"/>
        </w:rPr>
        <w:sectPr w:rsidR="00395B69" w:rsidRPr="00CD60B5">
          <w:headerReference w:type="even" r:id="rId9"/>
          <w:headerReference w:type="default" r:id="rId10"/>
          <w:headerReference w:type="first" r:id="rId11"/>
          <w:pgSz w:w="11907" w:h="16840" w:code="9"/>
          <w:pgMar w:top="648" w:right="706" w:bottom="634" w:left="1440" w:header="648" w:footer="634" w:gutter="0"/>
          <w:cols w:space="720"/>
          <w:titlePg/>
        </w:sectPr>
      </w:pPr>
      <w:bookmarkStart w:id="0" w:name="_GoBack"/>
      <w:bookmarkEnd w:id="0"/>
      <w:r w:rsidRPr="00CD60B5">
        <w:rPr>
          <w:rFonts w:ascii="Calibri" w:eastAsia="MS Mincho" w:hAnsi="Calibri" w:cs="Calibri"/>
          <w:sz w:val="28"/>
          <w:szCs w:val="24"/>
          <w:lang w:val="en-GB"/>
        </w:rPr>
        <w:t>Project “Advancing Accountability Mechanisms in Public Finances”</w:t>
      </w:r>
    </w:p>
    <w:p w:rsidR="00395B69" w:rsidRPr="00392A33" w:rsidRDefault="00395B69" w:rsidP="00DB318D">
      <w:pPr>
        <w:pStyle w:val="Title"/>
        <w:keepNext w:val="0"/>
        <w:keepLines w:val="0"/>
        <w:rPr>
          <w:rFonts w:eastAsia="MS Mincho"/>
          <w:b w:val="0"/>
          <w:lang w:val="en-GB" w:eastAsia="ko-KR"/>
        </w:rPr>
      </w:pPr>
      <w:r w:rsidRPr="00392A33">
        <w:rPr>
          <w:rFonts w:eastAsia="MS Mincho"/>
          <w:lang w:val="en-GB" w:eastAsia="ko-KR"/>
        </w:rPr>
        <w:lastRenderedPageBreak/>
        <w:t>ANALYSIS OF DIFFERENT APPROACHES TO REGULATING PUBLIC PROCUREMENT IN THE FIELDS OF DEFENCE, SECURITY, UTILITY AND PROTECTION OF BIDDER’S RIGHTS</w:t>
      </w:r>
    </w:p>
    <w:p w:rsidR="00392A33" w:rsidRDefault="00392A33" w:rsidP="00DB318D">
      <w:pPr>
        <w:pStyle w:val="Heading1"/>
        <w:keepNext w:val="0"/>
        <w:keepLines w:val="0"/>
        <w:rPr>
          <w:rFonts w:eastAsia="MS Mincho" w:hint="eastAsia"/>
          <w:lang w:val="en-GB"/>
        </w:rPr>
      </w:pPr>
    </w:p>
    <w:p w:rsidR="00392A33" w:rsidRDefault="00392A33" w:rsidP="00DB318D">
      <w:pPr>
        <w:pStyle w:val="Heading1"/>
        <w:keepNext w:val="0"/>
        <w:keepLines w:val="0"/>
        <w:rPr>
          <w:rFonts w:eastAsia="MS Mincho" w:hint="eastAsia"/>
          <w:lang w:val="en-GB"/>
        </w:rPr>
      </w:pPr>
    </w:p>
    <w:p w:rsidR="00392A33" w:rsidRPr="007A418F" w:rsidRDefault="00392A33" w:rsidP="00DB318D">
      <w:pPr>
        <w:keepNext w:val="0"/>
        <w:keepLines w:val="0"/>
        <w:pageBreakBefore/>
        <w:spacing w:after="240"/>
        <w:jc w:val="both"/>
        <w:rPr>
          <w:b/>
          <w:sz w:val="28"/>
          <w:szCs w:val="28"/>
          <w:lang w:val="en-GB"/>
        </w:rPr>
      </w:pPr>
      <w:r w:rsidRPr="007A418F">
        <w:rPr>
          <w:b/>
          <w:sz w:val="28"/>
          <w:szCs w:val="28"/>
          <w:lang w:val="en-GB"/>
        </w:rPr>
        <w:lastRenderedPageBreak/>
        <w:t>TABLE OF CONTENTS</w:t>
      </w:r>
    </w:p>
    <w:p w:rsidR="00FB7D58" w:rsidRDefault="00AA03BF">
      <w:pPr>
        <w:pStyle w:val="TOC1"/>
        <w:tabs>
          <w:tab w:val="right" w:leader="dot" w:pos="9317"/>
        </w:tabs>
        <w:rPr>
          <w:rFonts w:eastAsiaTheme="minorEastAsia"/>
          <w:noProof/>
          <w:lang w:eastAsia="hr-HR"/>
        </w:rPr>
      </w:pPr>
      <w:r>
        <w:rPr>
          <w:lang w:val="en-GB"/>
        </w:rPr>
        <w:fldChar w:fldCharType="begin"/>
      </w:r>
      <w:r w:rsidR="007A418F">
        <w:rPr>
          <w:lang w:val="en-GB"/>
        </w:rPr>
        <w:instrText xml:space="preserve"> TOC \o "1-4" \h \z \u </w:instrText>
      </w:r>
      <w:r>
        <w:rPr>
          <w:lang w:val="en-GB"/>
        </w:rPr>
        <w:fldChar w:fldCharType="separate"/>
      </w:r>
      <w:hyperlink w:anchor="_Toc419719669" w:history="1">
        <w:r w:rsidR="00FB7D58" w:rsidRPr="00EB3DEC">
          <w:rPr>
            <w:rStyle w:val="Hyperlink"/>
            <w:rFonts w:eastAsia="MS Mincho"/>
            <w:noProof/>
            <w:lang w:val="en-GB"/>
          </w:rPr>
          <w:t>1. Introduction</w:t>
        </w:r>
        <w:r w:rsidR="00FB7D58">
          <w:rPr>
            <w:noProof/>
            <w:webHidden/>
          </w:rPr>
          <w:tab/>
        </w:r>
        <w:r w:rsidR="00FB7D58">
          <w:rPr>
            <w:noProof/>
            <w:webHidden/>
          </w:rPr>
          <w:fldChar w:fldCharType="begin"/>
        </w:r>
        <w:r w:rsidR="00FB7D58">
          <w:rPr>
            <w:noProof/>
            <w:webHidden/>
          </w:rPr>
          <w:instrText xml:space="preserve"> PAGEREF _Toc419719669 \h </w:instrText>
        </w:r>
        <w:r w:rsidR="00FB7D58">
          <w:rPr>
            <w:noProof/>
            <w:webHidden/>
          </w:rPr>
        </w:r>
        <w:r w:rsidR="00FB7D58">
          <w:rPr>
            <w:noProof/>
            <w:webHidden/>
          </w:rPr>
          <w:fldChar w:fldCharType="separate"/>
        </w:r>
        <w:r w:rsidR="00FB7D58">
          <w:rPr>
            <w:noProof/>
            <w:webHidden/>
          </w:rPr>
          <w:t>3</w:t>
        </w:r>
        <w:r w:rsidR="00FB7D58">
          <w:rPr>
            <w:noProof/>
            <w:webHidden/>
          </w:rPr>
          <w:fldChar w:fldCharType="end"/>
        </w:r>
      </w:hyperlink>
    </w:p>
    <w:p w:rsidR="00FB7D58" w:rsidRDefault="00AD50E3">
      <w:pPr>
        <w:pStyle w:val="TOC1"/>
        <w:tabs>
          <w:tab w:val="right" w:leader="dot" w:pos="9317"/>
        </w:tabs>
        <w:rPr>
          <w:rFonts w:eastAsiaTheme="minorEastAsia"/>
          <w:noProof/>
          <w:lang w:eastAsia="hr-HR"/>
        </w:rPr>
      </w:pPr>
      <w:hyperlink w:anchor="_Toc419719670" w:history="1">
        <w:r w:rsidR="00FB7D58" w:rsidRPr="00EB3DEC">
          <w:rPr>
            <w:rStyle w:val="Hyperlink"/>
            <w:rFonts w:eastAsia="Calibri"/>
            <w:noProof/>
            <w:lang w:val="en-GB"/>
          </w:rPr>
          <w:t>2. State of play</w:t>
        </w:r>
        <w:r w:rsidR="00FB7D58">
          <w:rPr>
            <w:noProof/>
            <w:webHidden/>
          </w:rPr>
          <w:tab/>
        </w:r>
        <w:r w:rsidR="00FB7D58">
          <w:rPr>
            <w:noProof/>
            <w:webHidden/>
          </w:rPr>
          <w:fldChar w:fldCharType="begin"/>
        </w:r>
        <w:r w:rsidR="00FB7D58">
          <w:rPr>
            <w:noProof/>
            <w:webHidden/>
          </w:rPr>
          <w:instrText xml:space="preserve"> PAGEREF _Toc419719670 \h </w:instrText>
        </w:r>
        <w:r w:rsidR="00FB7D58">
          <w:rPr>
            <w:noProof/>
            <w:webHidden/>
          </w:rPr>
        </w:r>
        <w:r w:rsidR="00FB7D58">
          <w:rPr>
            <w:noProof/>
            <w:webHidden/>
          </w:rPr>
          <w:fldChar w:fldCharType="separate"/>
        </w:r>
        <w:r w:rsidR="00FB7D58">
          <w:rPr>
            <w:noProof/>
            <w:webHidden/>
          </w:rPr>
          <w:t>3</w:t>
        </w:r>
        <w:r w:rsidR="00FB7D58">
          <w:rPr>
            <w:noProof/>
            <w:webHidden/>
          </w:rPr>
          <w:fldChar w:fldCharType="end"/>
        </w:r>
      </w:hyperlink>
    </w:p>
    <w:p w:rsidR="00FB7D58" w:rsidRDefault="00AD50E3">
      <w:pPr>
        <w:pStyle w:val="TOC1"/>
        <w:tabs>
          <w:tab w:val="right" w:leader="dot" w:pos="9317"/>
        </w:tabs>
        <w:rPr>
          <w:rFonts w:eastAsiaTheme="minorEastAsia"/>
          <w:noProof/>
          <w:lang w:eastAsia="hr-HR"/>
        </w:rPr>
      </w:pPr>
      <w:hyperlink w:anchor="_Toc419719671" w:history="1">
        <w:r w:rsidR="00FB7D58" w:rsidRPr="00EB3DEC">
          <w:rPr>
            <w:rStyle w:val="Hyperlink"/>
            <w:rFonts w:eastAsia="Calibri"/>
            <w:noProof/>
            <w:lang w:val="en-GB"/>
          </w:rPr>
          <w:t>3. Analysis</w:t>
        </w:r>
        <w:r w:rsidR="00FB7D58">
          <w:rPr>
            <w:noProof/>
            <w:webHidden/>
          </w:rPr>
          <w:tab/>
        </w:r>
        <w:r w:rsidR="00FB7D58">
          <w:rPr>
            <w:noProof/>
            <w:webHidden/>
          </w:rPr>
          <w:fldChar w:fldCharType="begin"/>
        </w:r>
        <w:r w:rsidR="00FB7D58">
          <w:rPr>
            <w:noProof/>
            <w:webHidden/>
          </w:rPr>
          <w:instrText xml:space="preserve"> PAGEREF _Toc419719671 \h </w:instrText>
        </w:r>
        <w:r w:rsidR="00FB7D58">
          <w:rPr>
            <w:noProof/>
            <w:webHidden/>
          </w:rPr>
        </w:r>
        <w:r w:rsidR="00FB7D58">
          <w:rPr>
            <w:noProof/>
            <w:webHidden/>
          </w:rPr>
          <w:fldChar w:fldCharType="separate"/>
        </w:r>
        <w:r w:rsidR="00FB7D58">
          <w:rPr>
            <w:noProof/>
            <w:webHidden/>
          </w:rPr>
          <w:t>6</w:t>
        </w:r>
        <w:r w:rsidR="00FB7D58">
          <w:rPr>
            <w:noProof/>
            <w:webHidden/>
          </w:rPr>
          <w:fldChar w:fldCharType="end"/>
        </w:r>
      </w:hyperlink>
    </w:p>
    <w:p w:rsidR="00FB7D58" w:rsidRDefault="00AD50E3">
      <w:pPr>
        <w:pStyle w:val="TOC2"/>
        <w:tabs>
          <w:tab w:val="right" w:leader="dot" w:pos="9317"/>
        </w:tabs>
        <w:rPr>
          <w:rFonts w:eastAsiaTheme="minorEastAsia"/>
          <w:noProof/>
          <w:lang w:eastAsia="hr-HR"/>
        </w:rPr>
      </w:pPr>
      <w:hyperlink w:anchor="_Toc419719672" w:history="1">
        <w:r w:rsidR="00FB7D58" w:rsidRPr="00EB3DEC">
          <w:rPr>
            <w:rStyle w:val="Hyperlink"/>
            <w:rFonts w:eastAsia="Calibri"/>
            <w:noProof/>
            <w:lang w:val="en-GB"/>
          </w:rPr>
          <w:t>3.1 Utilities Directive</w:t>
        </w:r>
        <w:r w:rsidR="00FB7D58">
          <w:rPr>
            <w:noProof/>
            <w:webHidden/>
          </w:rPr>
          <w:tab/>
        </w:r>
        <w:r w:rsidR="00FB7D58">
          <w:rPr>
            <w:noProof/>
            <w:webHidden/>
          </w:rPr>
          <w:fldChar w:fldCharType="begin"/>
        </w:r>
        <w:r w:rsidR="00FB7D58">
          <w:rPr>
            <w:noProof/>
            <w:webHidden/>
          </w:rPr>
          <w:instrText xml:space="preserve"> PAGEREF _Toc419719672 \h </w:instrText>
        </w:r>
        <w:r w:rsidR="00FB7D58">
          <w:rPr>
            <w:noProof/>
            <w:webHidden/>
          </w:rPr>
        </w:r>
        <w:r w:rsidR="00FB7D58">
          <w:rPr>
            <w:noProof/>
            <w:webHidden/>
          </w:rPr>
          <w:fldChar w:fldCharType="separate"/>
        </w:r>
        <w:r w:rsidR="00FB7D58">
          <w:rPr>
            <w:noProof/>
            <w:webHidden/>
          </w:rPr>
          <w:t>6</w:t>
        </w:r>
        <w:r w:rsidR="00FB7D58">
          <w:rPr>
            <w:noProof/>
            <w:webHidden/>
          </w:rPr>
          <w:fldChar w:fldCharType="end"/>
        </w:r>
      </w:hyperlink>
    </w:p>
    <w:p w:rsidR="00FB7D58" w:rsidRDefault="00AD50E3">
      <w:pPr>
        <w:pStyle w:val="TOC3"/>
        <w:tabs>
          <w:tab w:val="right" w:leader="dot" w:pos="9317"/>
        </w:tabs>
        <w:rPr>
          <w:rFonts w:eastAsiaTheme="minorEastAsia"/>
          <w:noProof/>
          <w:lang w:eastAsia="hr-HR"/>
        </w:rPr>
      </w:pPr>
      <w:hyperlink w:anchor="_Toc419719673" w:history="1">
        <w:r w:rsidR="00FB7D58" w:rsidRPr="00EB3DEC">
          <w:rPr>
            <w:rStyle w:val="Hyperlink"/>
            <w:rFonts w:eastAsia="Calibri"/>
            <w:noProof/>
            <w:lang w:val="en-GB"/>
          </w:rPr>
          <w:t>Options for Serbia</w:t>
        </w:r>
        <w:r w:rsidR="00FB7D58">
          <w:rPr>
            <w:noProof/>
            <w:webHidden/>
          </w:rPr>
          <w:tab/>
        </w:r>
        <w:r w:rsidR="00FB7D58">
          <w:rPr>
            <w:noProof/>
            <w:webHidden/>
          </w:rPr>
          <w:fldChar w:fldCharType="begin"/>
        </w:r>
        <w:r w:rsidR="00FB7D58">
          <w:rPr>
            <w:noProof/>
            <w:webHidden/>
          </w:rPr>
          <w:instrText xml:space="preserve"> PAGEREF _Toc419719673 \h </w:instrText>
        </w:r>
        <w:r w:rsidR="00FB7D58">
          <w:rPr>
            <w:noProof/>
            <w:webHidden/>
          </w:rPr>
        </w:r>
        <w:r w:rsidR="00FB7D58">
          <w:rPr>
            <w:noProof/>
            <w:webHidden/>
          </w:rPr>
          <w:fldChar w:fldCharType="separate"/>
        </w:r>
        <w:r w:rsidR="00FB7D58">
          <w:rPr>
            <w:noProof/>
            <w:webHidden/>
          </w:rPr>
          <w:t>7</w:t>
        </w:r>
        <w:r w:rsidR="00FB7D58">
          <w:rPr>
            <w:noProof/>
            <w:webHidden/>
          </w:rPr>
          <w:fldChar w:fldCharType="end"/>
        </w:r>
      </w:hyperlink>
    </w:p>
    <w:p w:rsidR="00FB7D58" w:rsidRDefault="00AD50E3">
      <w:pPr>
        <w:pStyle w:val="TOC4"/>
        <w:tabs>
          <w:tab w:val="right" w:leader="dot" w:pos="9317"/>
        </w:tabs>
        <w:rPr>
          <w:rFonts w:eastAsiaTheme="minorEastAsia"/>
          <w:noProof/>
          <w:lang w:eastAsia="hr-HR"/>
        </w:rPr>
      </w:pPr>
      <w:hyperlink w:anchor="_Toc419719674" w:history="1">
        <w:r w:rsidR="00FB7D58" w:rsidRPr="00EB3DEC">
          <w:rPr>
            <w:rStyle w:val="Hyperlink"/>
            <w:rFonts w:eastAsia="Calibri"/>
            <w:noProof/>
            <w:lang w:val="en-GB"/>
          </w:rPr>
          <w:t>Option I – One single law with specific chapter on utilities</w:t>
        </w:r>
        <w:r w:rsidR="00FB7D58">
          <w:rPr>
            <w:noProof/>
            <w:webHidden/>
          </w:rPr>
          <w:tab/>
        </w:r>
        <w:r w:rsidR="00FB7D58">
          <w:rPr>
            <w:noProof/>
            <w:webHidden/>
          </w:rPr>
          <w:fldChar w:fldCharType="begin"/>
        </w:r>
        <w:r w:rsidR="00FB7D58">
          <w:rPr>
            <w:noProof/>
            <w:webHidden/>
          </w:rPr>
          <w:instrText xml:space="preserve"> PAGEREF _Toc419719674 \h </w:instrText>
        </w:r>
        <w:r w:rsidR="00FB7D58">
          <w:rPr>
            <w:noProof/>
            <w:webHidden/>
          </w:rPr>
        </w:r>
        <w:r w:rsidR="00FB7D58">
          <w:rPr>
            <w:noProof/>
            <w:webHidden/>
          </w:rPr>
          <w:fldChar w:fldCharType="separate"/>
        </w:r>
        <w:r w:rsidR="00FB7D58">
          <w:rPr>
            <w:noProof/>
            <w:webHidden/>
          </w:rPr>
          <w:t>8</w:t>
        </w:r>
        <w:r w:rsidR="00FB7D58">
          <w:rPr>
            <w:noProof/>
            <w:webHidden/>
          </w:rPr>
          <w:fldChar w:fldCharType="end"/>
        </w:r>
      </w:hyperlink>
    </w:p>
    <w:p w:rsidR="00FB7D58" w:rsidRDefault="00AD50E3">
      <w:pPr>
        <w:pStyle w:val="TOC4"/>
        <w:tabs>
          <w:tab w:val="right" w:leader="dot" w:pos="9317"/>
        </w:tabs>
        <w:rPr>
          <w:rFonts w:eastAsiaTheme="minorEastAsia"/>
          <w:noProof/>
          <w:lang w:eastAsia="hr-HR"/>
        </w:rPr>
      </w:pPr>
      <w:hyperlink w:anchor="_Toc419719675" w:history="1">
        <w:r w:rsidR="00FB7D58" w:rsidRPr="00EB3DEC">
          <w:rPr>
            <w:rStyle w:val="Hyperlink"/>
            <w:rFonts w:eastAsia="Calibri"/>
            <w:noProof/>
            <w:lang w:val="en-GB"/>
          </w:rPr>
          <w:t>Option II – One single law transposing both the Public Sector and the Utilities Directive in a comprehensive manner</w:t>
        </w:r>
        <w:r w:rsidR="00FB7D58">
          <w:rPr>
            <w:noProof/>
            <w:webHidden/>
          </w:rPr>
          <w:tab/>
        </w:r>
        <w:r w:rsidR="00FB7D58">
          <w:rPr>
            <w:noProof/>
            <w:webHidden/>
          </w:rPr>
          <w:fldChar w:fldCharType="begin"/>
        </w:r>
        <w:r w:rsidR="00FB7D58">
          <w:rPr>
            <w:noProof/>
            <w:webHidden/>
          </w:rPr>
          <w:instrText xml:space="preserve"> PAGEREF _Toc419719675 \h </w:instrText>
        </w:r>
        <w:r w:rsidR="00FB7D58">
          <w:rPr>
            <w:noProof/>
            <w:webHidden/>
          </w:rPr>
        </w:r>
        <w:r w:rsidR="00FB7D58">
          <w:rPr>
            <w:noProof/>
            <w:webHidden/>
          </w:rPr>
          <w:fldChar w:fldCharType="separate"/>
        </w:r>
        <w:r w:rsidR="00FB7D58">
          <w:rPr>
            <w:noProof/>
            <w:webHidden/>
          </w:rPr>
          <w:t>9</w:t>
        </w:r>
        <w:r w:rsidR="00FB7D58">
          <w:rPr>
            <w:noProof/>
            <w:webHidden/>
          </w:rPr>
          <w:fldChar w:fldCharType="end"/>
        </w:r>
      </w:hyperlink>
    </w:p>
    <w:p w:rsidR="00FB7D58" w:rsidRDefault="00AD50E3">
      <w:pPr>
        <w:pStyle w:val="TOC4"/>
        <w:tabs>
          <w:tab w:val="right" w:leader="dot" w:pos="9317"/>
        </w:tabs>
        <w:rPr>
          <w:rFonts w:eastAsiaTheme="minorEastAsia"/>
          <w:noProof/>
          <w:lang w:eastAsia="hr-HR"/>
        </w:rPr>
      </w:pPr>
      <w:hyperlink w:anchor="_Toc419719676" w:history="1">
        <w:r w:rsidR="00FB7D58" w:rsidRPr="00EB3DEC">
          <w:rPr>
            <w:rStyle w:val="Hyperlink"/>
            <w:rFonts w:eastAsia="Calibri"/>
            <w:noProof/>
            <w:lang w:val="en-GB"/>
          </w:rPr>
          <w:t>Option III – Special law for utilities sector</w:t>
        </w:r>
        <w:r w:rsidR="00FB7D58">
          <w:rPr>
            <w:noProof/>
            <w:webHidden/>
          </w:rPr>
          <w:tab/>
        </w:r>
        <w:r w:rsidR="00FB7D58">
          <w:rPr>
            <w:noProof/>
            <w:webHidden/>
          </w:rPr>
          <w:fldChar w:fldCharType="begin"/>
        </w:r>
        <w:r w:rsidR="00FB7D58">
          <w:rPr>
            <w:noProof/>
            <w:webHidden/>
          </w:rPr>
          <w:instrText xml:space="preserve"> PAGEREF _Toc419719676 \h </w:instrText>
        </w:r>
        <w:r w:rsidR="00FB7D58">
          <w:rPr>
            <w:noProof/>
            <w:webHidden/>
          </w:rPr>
        </w:r>
        <w:r w:rsidR="00FB7D58">
          <w:rPr>
            <w:noProof/>
            <w:webHidden/>
          </w:rPr>
          <w:fldChar w:fldCharType="separate"/>
        </w:r>
        <w:r w:rsidR="00FB7D58">
          <w:rPr>
            <w:noProof/>
            <w:webHidden/>
          </w:rPr>
          <w:t>10</w:t>
        </w:r>
        <w:r w:rsidR="00FB7D58">
          <w:rPr>
            <w:noProof/>
            <w:webHidden/>
          </w:rPr>
          <w:fldChar w:fldCharType="end"/>
        </w:r>
      </w:hyperlink>
    </w:p>
    <w:p w:rsidR="00FB7D58" w:rsidRDefault="00AD50E3">
      <w:pPr>
        <w:pStyle w:val="TOC4"/>
        <w:tabs>
          <w:tab w:val="right" w:leader="dot" w:pos="9317"/>
        </w:tabs>
        <w:rPr>
          <w:rFonts w:eastAsiaTheme="minorEastAsia"/>
          <w:noProof/>
          <w:lang w:eastAsia="hr-HR"/>
        </w:rPr>
      </w:pPr>
      <w:hyperlink w:anchor="_Toc419719677" w:history="1">
        <w:r w:rsidR="00FB7D58" w:rsidRPr="00EB3DEC">
          <w:rPr>
            <w:rStyle w:val="Hyperlink"/>
            <w:rFonts w:eastAsia="Calibri"/>
            <w:noProof/>
            <w:lang w:val="en-GB"/>
          </w:rPr>
          <w:t>Option IV – Consolidated/merged public and utilities provisions in one law</w:t>
        </w:r>
        <w:r w:rsidR="00FB7D58">
          <w:rPr>
            <w:noProof/>
            <w:webHidden/>
          </w:rPr>
          <w:tab/>
        </w:r>
        <w:r w:rsidR="00FB7D58">
          <w:rPr>
            <w:noProof/>
            <w:webHidden/>
          </w:rPr>
          <w:fldChar w:fldCharType="begin"/>
        </w:r>
        <w:r w:rsidR="00FB7D58">
          <w:rPr>
            <w:noProof/>
            <w:webHidden/>
          </w:rPr>
          <w:instrText xml:space="preserve"> PAGEREF _Toc419719677 \h </w:instrText>
        </w:r>
        <w:r w:rsidR="00FB7D58">
          <w:rPr>
            <w:noProof/>
            <w:webHidden/>
          </w:rPr>
        </w:r>
        <w:r w:rsidR="00FB7D58">
          <w:rPr>
            <w:noProof/>
            <w:webHidden/>
          </w:rPr>
          <w:fldChar w:fldCharType="separate"/>
        </w:r>
        <w:r w:rsidR="00FB7D58">
          <w:rPr>
            <w:noProof/>
            <w:webHidden/>
          </w:rPr>
          <w:t>11</w:t>
        </w:r>
        <w:r w:rsidR="00FB7D58">
          <w:rPr>
            <w:noProof/>
            <w:webHidden/>
          </w:rPr>
          <w:fldChar w:fldCharType="end"/>
        </w:r>
      </w:hyperlink>
    </w:p>
    <w:p w:rsidR="00FB7D58" w:rsidRDefault="00AD50E3">
      <w:pPr>
        <w:pStyle w:val="TOC2"/>
        <w:tabs>
          <w:tab w:val="right" w:leader="dot" w:pos="9317"/>
        </w:tabs>
        <w:rPr>
          <w:rFonts w:eastAsiaTheme="minorEastAsia"/>
          <w:noProof/>
          <w:lang w:eastAsia="hr-HR"/>
        </w:rPr>
      </w:pPr>
      <w:hyperlink w:anchor="_Toc419719678" w:history="1">
        <w:r w:rsidR="00FB7D58" w:rsidRPr="00EB3DEC">
          <w:rPr>
            <w:rStyle w:val="Hyperlink"/>
            <w:rFonts w:eastAsia="Calibri"/>
            <w:noProof/>
            <w:lang w:val="en-GB"/>
          </w:rPr>
          <w:t>3.2 Defence and Security Directive</w:t>
        </w:r>
        <w:r w:rsidR="00FB7D58">
          <w:rPr>
            <w:noProof/>
            <w:webHidden/>
          </w:rPr>
          <w:tab/>
        </w:r>
        <w:r w:rsidR="00FB7D58">
          <w:rPr>
            <w:noProof/>
            <w:webHidden/>
          </w:rPr>
          <w:fldChar w:fldCharType="begin"/>
        </w:r>
        <w:r w:rsidR="00FB7D58">
          <w:rPr>
            <w:noProof/>
            <w:webHidden/>
          </w:rPr>
          <w:instrText xml:space="preserve"> PAGEREF _Toc419719678 \h </w:instrText>
        </w:r>
        <w:r w:rsidR="00FB7D58">
          <w:rPr>
            <w:noProof/>
            <w:webHidden/>
          </w:rPr>
        </w:r>
        <w:r w:rsidR="00FB7D58">
          <w:rPr>
            <w:noProof/>
            <w:webHidden/>
          </w:rPr>
          <w:fldChar w:fldCharType="separate"/>
        </w:r>
        <w:r w:rsidR="00FB7D58">
          <w:rPr>
            <w:noProof/>
            <w:webHidden/>
          </w:rPr>
          <w:t>11</w:t>
        </w:r>
        <w:r w:rsidR="00FB7D58">
          <w:rPr>
            <w:noProof/>
            <w:webHidden/>
          </w:rPr>
          <w:fldChar w:fldCharType="end"/>
        </w:r>
      </w:hyperlink>
    </w:p>
    <w:p w:rsidR="00FB7D58" w:rsidRDefault="00AD50E3">
      <w:pPr>
        <w:pStyle w:val="TOC3"/>
        <w:tabs>
          <w:tab w:val="right" w:leader="dot" w:pos="9317"/>
        </w:tabs>
        <w:rPr>
          <w:rFonts w:eastAsiaTheme="minorEastAsia"/>
          <w:noProof/>
          <w:lang w:eastAsia="hr-HR"/>
        </w:rPr>
      </w:pPr>
      <w:hyperlink w:anchor="_Toc419719679" w:history="1">
        <w:r w:rsidR="00FB7D58" w:rsidRPr="00EB3DEC">
          <w:rPr>
            <w:rStyle w:val="Hyperlink"/>
            <w:rFonts w:eastAsia="Calibri"/>
            <w:noProof/>
            <w:lang w:val="en-GB"/>
          </w:rPr>
          <w:t>Options for Serbia</w:t>
        </w:r>
        <w:r w:rsidR="00FB7D58">
          <w:rPr>
            <w:noProof/>
            <w:webHidden/>
          </w:rPr>
          <w:tab/>
        </w:r>
        <w:r w:rsidR="00FB7D58">
          <w:rPr>
            <w:noProof/>
            <w:webHidden/>
          </w:rPr>
          <w:fldChar w:fldCharType="begin"/>
        </w:r>
        <w:r w:rsidR="00FB7D58">
          <w:rPr>
            <w:noProof/>
            <w:webHidden/>
          </w:rPr>
          <w:instrText xml:space="preserve"> PAGEREF _Toc419719679 \h </w:instrText>
        </w:r>
        <w:r w:rsidR="00FB7D58">
          <w:rPr>
            <w:noProof/>
            <w:webHidden/>
          </w:rPr>
        </w:r>
        <w:r w:rsidR="00FB7D58">
          <w:rPr>
            <w:noProof/>
            <w:webHidden/>
          </w:rPr>
          <w:fldChar w:fldCharType="separate"/>
        </w:r>
        <w:r w:rsidR="00FB7D58">
          <w:rPr>
            <w:noProof/>
            <w:webHidden/>
          </w:rPr>
          <w:t>12</w:t>
        </w:r>
        <w:r w:rsidR="00FB7D58">
          <w:rPr>
            <w:noProof/>
            <w:webHidden/>
          </w:rPr>
          <w:fldChar w:fldCharType="end"/>
        </w:r>
      </w:hyperlink>
    </w:p>
    <w:p w:rsidR="00FB7D58" w:rsidRDefault="00AD50E3">
      <w:pPr>
        <w:pStyle w:val="TOC2"/>
        <w:tabs>
          <w:tab w:val="right" w:leader="dot" w:pos="9317"/>
        </w:tabs>
        <w:rPr>
          <w:rFonts w:eastAsiaTheme="minorEastAsia"/>
          <w:noProof/>
          <w:lang w:eastAsia="hr-HR"/>
        </w:rPr>
      </w:pPr>
      <w:hyperlink w:anchor="_Toc419719680" w:history="1">
        <w:r w:rsidR="00FB7D58" w:rsidRPr="00EB3DEC">
          <w:rPr>
            <w:rStyle w:val="Hyperlink"/>
            <w:rFonts w:eastAsia="Calibri"/>
            <w:noProof/>
            <w:lang w:val="en-GB"/>
          </w:rPr>
          <w:t>3.3 Remedies Directives</w:t>
        </w:r>
        <w:r w:rsidR="00FB7D58">
          <w:rPr>
            <w:noProof/>
            <w:webHidden/>
          </w:rPr>
          <w:tab/>
        </w:r>
        <w:r w:rsidR="00FB7D58">
          <w:rPr>
            <w:noProof/>
            <w:webHidden/>
          </w:rPr>
          <w:fldChar w:fldCharType="begin"/>
        </w:r>
        <w:r w:rsidR="00FB7D58">
          <w:rPr>
            <w:noProof/>
            <w:webHidden/>
          </w:rPr>
          <w:instrText xml:space="preserve"> PAGEREF _Toc419719680 \h </w:instrText>
        </w:r>
        <w:r w:rsidR="00FB7D58">
          <w:rPr>
            <w:noProof/>
            <w:webHidden/>
          </w:rPr>
        </w:r>
        <w:r w:rsidR="00FB7D58">
          <w:rPr>
            <w:noProof/>
            <w:webHidden/>
          </w:rPr>
          <w:fldChar w:fldCharType="separate"/>
        </w:r>
        <w:r w:rsidR="00FB7D58">
          <w:rPr>
            <w:noProof/>
            <w:webHidden/>
          </w:rPr>
          <w:t>14</w:t>
        </w:r>
        <w:r w:rsidR="00FB7D58">
          <w:rPr>
            <w:noProof/>
            <w:webHidden/>
          </w:rPr>
          <w:fldChar w:fldCharType="end"/>
        </w:r>
      </w:hyperlink>
    </w:p>
    <w:p w:rsidR="00FB7D58" w:rsidRDefault="00AD50E3">
      <w:pPr>
        <w:pStyle w:val="TOC3"/>
        <w:tabs>
          <w:tab w:val="right" w:leader="dot" w:pos="9317"/>
        </w:tabs>
        <w:rPr>
          <w:rFonts w:eastAsiaTheme="minorEastAsia"/>
          <w:noProof/>
          <w:lang w:eastAsia="hr-HR"/>
        </w:rPr>
      </w:pPr>
      <w:hyperlink w:anchor="_Toc419719681" w:history="1">
        <w:r w:rsidR="00FB7D58" w:rsidRPr="00EB3DEC">
          <w:rPr>
            <w:rStyle w:val="Hyperlink"/>
            <w:rFonts w:eastAsia="Calibri"/>
            <w:noProof/>
            <w:lang w:val="en-GB"/>
          </w:rPr>
          <w:t>Options for Serbia</w:t>
        </w:r>
        <w:r w:rsidR="00FB7D58">
          <w:rPr>
            <w:noProof/>
            <w:webHidden/>
          </w:rPr>
          <w:tab/>
        </w:r>
        <w:r w:rsidR="00FB7D58">
          <w:rPr>
            <w:noProof/>
            <w:webHidden/>
          </w:rPr>
          <w:fldChar w:fldCharType="begin"/>
        </w:r>
        <w:r w:rsidR="00FB7D58">
          <w:rPr>
            <w:noProof/>
            <w:webHidden/>
          </w:rPr>
          <w:instrText xml:space="preserve"> PAGEREF _Toc419719681 \h </w:instrText>
        </w:r>
        <w:r w:rsidR="00FB7D58">
          <w:rPr>
            <w:noProof/>
            <w:webHidden/>
          </w:rPr>
        </w:r>
        <w:r w:rsidR="00FB7D58">
          <w:rPr>
            <w:noProof/>
            <w:webHidden/>
          </w:rPr>
          <w:fldChar w:fldCharType="separate"/>
        </w:r>
        <w:r w:rsidR="00FB7D58">
          <w:rPr>
            <w:noProof/>
            <w:webHidden/>
          </w:rPr>
          <w:t>16</w:t>
        </w:r>
        <w:r w:rsidR="00FB7D58">
          <w:rPr>
            <w:noProof/>
            <w:webHidden/>
          </w:rPr>
          <w:fldChar w:fldCharType="end"/>
        </w:r>
      </w:hyperlink>
    </w:p>
    <w:p w:rsidR="00FB7D58" w:rsidRDefault="00AD50E3">
      <w:pPr>
        <w:pStyle w:val="TOC4"/>
        <w:tabs>
          <w:tab w:val="right" w:leader="dot" w:pos="9317"/>
        </w:tabs>
        <w:rPr>
          <w:rFonts w:eastAsiaTheme="minorEastAsia"/>
          <w:noProof/>
          <w:lang w:eastAsia="hr-HR"/>
        </w:rPr>
      </w:pPr>
      <w:hyperlink w:anchor="_Toc419719682" w:history="1">
        <w:r w:rsidR="00FB7D58" w:rsidRPr="00EB3DEC">
          <w:rPr>
            <w:rStyle w:val="Hyperlink"/>
            <w:rFonts w:eastAsia="Calibri"/>
            <w:noProof/>
            <w:lang w:val="en-GB"/>
          </w:rPr>
          <w:t>Option I – Single law on review and remedies</w:t>
        </w:r>
        <w:r w:rsidR="00FB7D58">
          <w:rPr>
            <w:noProof/>
            <w:webHidden/>
          </w:rPr>
          <w:tab/>
        </w:r>
        <w:r w:rsidR="00FB7D58">
          <w:rPr>
            <w:noProof/>
            <w:webHidden/>
          </w:rPr>
          <w:fldChar w:fldCharType="begin"/>
        </w:r>
        <w:r w:rsidR="00FB7D58">
          <w:rPr>
            <w:noProof/>
            <w:webHidden/>
          </w:rPr>
          <w:instrText xml:space="preserve"> PAGEREF _Toc419719682 \h </w:instrText>
        </w:r>
        <w:r w:rsidR="00FB7D58">
          <w:rPr>
            <w:noProof/>
            <w:webHidden/>
          </w:rPr>
        </w:r>
        <w:r w:rsidR="00FB7D58">
          <w:rPr>
            <w:noProof/>
            <w:webHidden/>
          </w:rPr>
          <w:fldChar w:fldCharType="separate"/>
        </w:r>
        <w:r w:rsidR="00FB7D58">
          <w:rPr>
            <w:noProof/>
            <w:webHidden/>
          </w:rPr>
          <w:t>16</w:t>
        </w:r>
        <w:r w:rsidR="00FB7D58">
          <w:rPr>
            <w:noProof/>
            <w:webHidden/>
          </w:rPr>
          <w:fldChar w:fldCharType="end"/>
        </w:r>
      </w:hyperlink>
    </w:p>
    <w:p w:rsidR="00FB7D58" w:rsidRDefault="00AD50E3">
      <w:pPr>
        <w:pStyle w:val="TOC4"/>
        <w:tabs>
          <w:tab w:val="right" w:leader="dot" w:pos="9317"/>
        </w:tabs>
        <w:rPr>
          <w:rFonts w:eastAsiaTheme="minorEastAsia"/>
          <w:noProof/>
          <w:lang w:eastAsia="hr-HR"/>
        </w:rPr>
      </w:pPr>
      <w:hyperlink w:anchor="_Toc419719683" w:history="1">
        <w:r w:rsidR="00FB7D58" w:rsidRPr="00EB3DEC">
          <w:rPr>
            <w:rStyle w:val="Hyperlink"/>
            <w:rFonts w:eastAsia="Calibri"/>
            <w:noProof/>
            <w:lang w:val="en-GB"/>
          </w:rPr>
          <w:t>Option II - Each law regulating different procurement regime contains a chapter related to review and remedies</w:t>
        </w:r>
        <w:r w:rsidR="00FB7D58">
          <w:rPr>
            <w:noProof/>
            <w:webHidden/>
          </w:rPr>
          <w:tab/>
        </w:r>
        <w:r w:rsidR="00FB7D58">
          <w:rPr>
            <w:noProof/>
            <w:webHidden/>
          </w:rPr>
          <w:fldChar w:fldCharType="begin"/>
        </w:r>
        <w:r w:rsidR="00FB7D58">
          <w:rPr>
            <w:noProof/>
            <w:webHidden/>
          </w:rPr>
          <w:instrText xml:space="preserve"> PAGEREF _Toc419719683 \h </w:instrText>
        </w:r>
        <w:r w:rsidR="00FB7D58">
          <w:rPr>
            <w:noProof/>
            <w:webHidden/>
          </w:rPr>
        </w:r>
        <w:r w:rsidR="00FB7D58">
          <w:rPr>
            <w:noProof/>
            <w:webHidden/>
          </w:rPr>
          <w:fldChar w:fldCharType="separate"/>
        </w:r>
        <w:r w:rsidR="00FB7D58">
          <w:rPr>
            <w:noProof/>
            <w:webHidden/>
          </w:rPr>
          <w:t>16</w:t>
        </w:r>
        <w:r w:rsidR="00FB7D58">
          <w:rPr>
            <w:noProof/>
            <w:webHidden/>
          </w:rPr>
          <w:fldChar w:fldCharType="end"/>
        </w:r>
      </w:hyperlink>
    </w:p>
    <w:p w:rsidR="00FB7D58" w:rsidRDefault="00AD50E3">
      <w:pPr>
        <w:pStyle w:val="TOC4"/>
        <w:tabs>
          <w:tab w:val="right" w:leader="dot" w:pos="9317"/>
        </w:tabs>
        <w:rPr>
          <w:rFonts w:eastAsiaTheme="minorEastAsia"/>
          <w:noProof/>
          <w:lang w:eastAsia="hr-HR"/>
        </w:rPr>
      </w:pPr>
      <w:hyperlink w:anchor="_Toc419719684" w:history="1">
        <w:r w:rsidR="00FB7D58" w:rsidRPr="00EB3DEC">
          <w:rPr>
            <w:rStyle w:val="Hyperlink"/>
            <w:rFonts w:eastAsia="Calibri"/>
            <w:noProof/>
            <w:lang w:val="en-GB"/>
          </w:rPr>
          <w:t>Option III – Review and remedies procedures are included in the Public Procurement Law while other laws refer to those provisions</w:t>
        </w:r>
        <w:r w:rsidR="00FB7D58">
          <w:rPr>
            <w:noProof/>
            <w:webHidden/>
          </w:rPr>
          <w:tab/>
        </w:r>
        <w:r w:rsidR="00FB7D58">
          <w:rPr>
            <w:noProof/>
            <w:webHidden/>
          </w:rPr>
          <w:fldChar w:fldCharType="begin"/>
        </w:r>
        <w:r w:rsidR="00FB7D58">
          <w:rPr>
            <w:noProof/>
            <w:webHidden/>
          </w:rPr>
          <w:instrText xml:space="preserve"> PAGEREF _Toc419719684 \h </w:instrText>
        </w:r>
        <w:r w:rsidR="00FB7D58">
          <w:rPr>
            <w:noProof/>
            <w:webHidden/>
          </w:rPr>
        </w:r>
        <w:r w:rsidR="00FB7D58">
          <w:rPr>
            <w:noProof/>
            <w:webHidden/>
          </w:rPr>
          <w:fldChar w:fldCharType="separate"/>
        </w:r>
        <w:r w:rsidR="00FB7D58">
          <w:rPr>
            <w:noProof/>
            <w:webHidden/>
          </w:rPr>
          <w:t>17</w:t>
        </w:r>
        <w:r w:rsidR="00FB7D58">
          <w:rPr>
            <w:noProof/>
            <w:webHidden/>
          </w:rPr>
          <w:fldChar w:fldCharType="end"/>
        </w:r>
      </w:hyperlink>
    </w:p>
    <w:p w:rsidR="00FB7D58" w:rsidRDefault="00AD50E3">
      <w:pPr>
        <w:pStyle w:val="TOC1"/>
        <w:tabs>
          <w:tab w:val="right" w:leader="dot" w:pos="9317"/>
        </w:tabs>
        <w:rPr>
          <w:rFonts w:eastAsiaTheme="minorEastAsia"/>
          <w:noProof/>
          <w:lang w:eastAsia="hr-HR"/>
        </w:rPr>
      </w:pPr>
      <w:hyperlink w:anchor="_Toc419719685" w:history="1">
        <w:r w:rsidR="00FB7D58" w:rsidRPr="00EB3DEC">
          <w:rPr>
            <w:rStyle w:val="Hyperlink"/>
            <w:rFonts w:eastAsia="MS Mincho"/>
            <w:noProof/>
            <w:lang w:val="en-GB"/>
          </w:rPr>
          <w:t>4. Conclusion</w:t>
        </w:r>
        <w:r w:rsidR="00FB7D58">
          <w:rPr>
            <w:noProof/>
            <w:webHidden/>
          </w:rPr>
          <w:tab/>
        </w:r>
        <w:r w:rsidR="00FB7D58">
          <w:rPr>
            <w:noProof/>
            <w:webHidden/>
          </w:rPr>
          <w:fldChar w:fldCharType="begin"/>
        </w:r>
        <w:r w:rsidR="00FB7D58">
          <w:rPr>
            <w:noProof/>
            <w:webHidden/>
          </w:rPr>
          <w:instrText xml:space="preserve"> PAGEREF _Toc419719685 \h </w:instrText>
        </w:r>
        <w:r w:rsidR="00FB7D58">
          <w:rPr>
            <w:noProof/>
            <w:webHidden/>
          </w:rPr>
        </w:r>
        <w:r w:rsidR="00FB7D58">
          <w:rPr>
            <w:noProof/>
            <w:webHidden/>
          </w:rPr>
          <w:fldChar w:fldCharType="separate"/>
        </w:r>
        <w:r w:rsidR="00FB7D58">
          <w:rPr>
            <w:noProof/>
            <w:webHidden/>
          </w:rPr>
          <w:t>18</w:t>
        </w:r>
        <w:r w:rsidR="00FB7D58">
          <w:rPr>
            <w:noProof/>
            <w:webHidden/>
          </w:rPr>
          <w:fldChar w:fldCharType="end"/>
        </w:r>
      </w:hyperlink>
    </w:p>
    <w:p w:rsidR="00392A33" w:rsidRDefault="00AA03BF" w:rsidP="00DB318D">
      <w:pPr>
        <w:keepNext w:val="0"/>
        <w:keepLines w:val="0"/>
        <w:rPr>
          <w:lang w:val="en-GB"/>
        </w:rPr>
      </w:pPr>
      <w:r>
        <w:rPr>
          <w:lang w:val="en-GB"/>
        </w:rPr>
        <w:fldChar w:fldCharType="end"/>
      </w:r>
    </w:p>
    <w:p w:rsidR="00395B69" w:rsidRPr="00CD60B5" w:rsidRDefault="003D2F1D" w:rsidP="00DB318D">
      <w:pPr>
        <w:pStyle w:val="Heading1"/>
        <w:keepNext w:val="0"/>
        <w:keepLines w:val="0"/>
        <w:pageBreakBefore/>
        <w:rPr>
          <w:rFonts w:eastAsia="MS Mincho" w:hint="eastAsia"/>
          <w:lang w:val="en-GB"/>
        </w:rPr>
      </w:pPr>
      <w:bookmarkStart w:id="1" w:name="_Toc419719669"/>
      <w:r>
        <w:rPr>
          <w:rFonts w:eastAsia="MS Mincho"/>
          <w:lang w:val="en-GB"/>
        </w:rPr>
        <w:lastRenderedPageBreak/>
        <w:t>1</w:t>
      </w:r>
      <w:r w:rsidR="00BD27E5">
        <w:rPr>
          <w:rFonts w:eastAsia="MS Mincho"/>
          <w:lang w:val="en-GB"/>
        </w:rPr>
        <w:t xml:space="preserve">. </w:t>
      </w:r>
      <w:r w:rsidR="00395B69" w:rsidRPr="00CD60B5">
        <w:rPr>
          <w:rFonts w:eastAsia="MS Mincho"/>
          <w:lang w:val="en-GB"/>
        </w:rPr>
        <w:t>Introduction</w:t>
      </w:r>
      <w:bookmarkEnd w:id="1"/>
    </w:p>
    <w:p w:rsidR="00C11A7B" w:rsidRPr="00CD60B5" w:rsidRDefault="00395B69" w:rsidP="00DB318D">
      <w:pPr>
        <w:keepNext w:val="0"/>
        <w:keepLines w:val="0"/>
        <w:spacing w:after="120" w:line="240" w:lineRule="auto"/>
        <w:jc w:val="both"/>
        <w:rPr>
          <w:rFonts w:ascii="Calibri" w:eastAsia="Calibri" w:hAnsi="Calibri" w:cs="Calibri"/>
          <w:sz w:val="24"/>
          <w:szCs w:val="24"/>
          <w:lang w:val="en-GB"/>
        </w:rPr>
      </w:pPr>
      <w:r w:rsidRPr="00CD60B5">
        <w:rPr>
          <w:rFonts w:ascii="Calibri" w:eastAsia="Calibri" w:hAnsi="Calibri" w:cs="Calibri"/>
          <w:sz w:val="24"/>
          <w:szCs w:val="24"/>
          <w:lang w:val="en-GB"/>
        </w:rPr>
        <w:t xml:space="preserve">This document has been prepared within the framework of UNPD project – “Advancing Accountability Mechanisms in Public Finances”. </w:t>
      </w:r>
    </w:p>
    <w:p w:rsidR="00395B69" w:rsidRPr="00CD60B5" w:rsidRDefault="00395B69" w:rsidP="00DB318D">
      <w:pPr>
        <w:keepNext w:val="0"/>
        <w:keepLines w:val="0"/>
        <w:spacing w:after="120" w:line="240" w:lineRule="auto"/>
        <w:jc w:val="both"/>
        <w:rPr>
          <w:rFonts w:ascii="Calibri" w:eastAsia="Calibri" w:hAnsi="Calibri" w:cs="Calibri"/>
          <w:sz w:val="24"/>
          <w:szCs w:val="24"/>
          <w:lang w:val="en-GB"/>
        </w:rPr>
      </w:pPr>
      <w:r w:rsidRPr="00CD60B5">
        <w:rPr>
          <w:rFonts w:ascii="Calibri" w:eastAsia="Calibri" w:hAnsi="Calibri" w:cs="Calibri"/>
          <w:sz w:val="24"/>
          <w:szCs w:val="24"/>
          <w:lang w:val="en-GB"/>
        </w:rPr>
        <w:t>The purpose of this document is to provide an analysis of different approaches to regulating public procu</w:t>
      </w:r>
      <w:r w:rsidR="00621B7F">
        <w:rPr>
          <w:rFonts w:ascii="Calibri" w:eastAsia="Calibri" w:hAnsi="Calibri" w:cs="Calibri"/>
          <w:sz w:val="24"/>
          <w:szCs w:val="24"/>
          <w:lang w:val="en-GB"/>
        </w:rPr>
        <w:t>rement in the fields of defence and</w:t>
      </w:r>
      <w:r w:rsidRPr="00CD60B5">
        <w:rPr>
          <w:rFonts w:ascii="Calibri" w:eastAsia="Calibri" w:hAnsi="Calibri" w:cs="Calibri"/>
          <w:sz w:val="24"/>
          <w:szCs w:val="24"/>
          <w:lang w:val="en-GB"/>
        </w:rPr>
        <w:t xml:space="preserve"> security, utility and protection of bidders’ rights. The analysis provides a list of, both, advantages </w:t>
      </w:r>
      <w:r w:rsidR="00D0076B">
        <w:rPr>
          <w:rFonts w:ascii="Calibri" w:eastAsia="Calibri" w:hAnsi="Calibri" w:cs="Calibri"/>
          <w:sz w:val="24"/>
          <w:szCs w:val="24"/>
          <w:lang w:val="en-GB"/>
        </w:rPr>
        <w:t xml:space="preserve">and shortcomings related to each </w:t>
      </w:r>
      <w:r w:rsidRPr="00CD60B5">
        <w:rPr>
          <w:rFonts w:ascii="Calibri" w:eastAsia="Calibri" w:hAnsi="Calibri" w:cs="Calibri"/>
          <w:sz w:val="24"/>
          <w:szCs w:val="24"/>
          <w:lang w:val="en-GB"/>
        </w:rPr>
        <w:t>approach</w:t>
      </w:r>
      <w:r w:rsidR="00D0076B">
        <w:rPr>
          <w:rFonts w:ascii="Calibri" w:eastAsia="Calibri" w:hAnsi="Calibri" w:cs="Calibri"/>
          <w:sz w:val="24"/>
          <w:szCs w:val="24"/>
          <w:lang w:val="en-GB"/>
        </w:rPr>
        <w:t xml:space="preserve"> suggested</w:t>
      </w:r>
      <w:r w:rsidRPr="00CD60B5">
        <w:rPr>
          <w:rFonts w:ascii="Calibri" w:eastAsia="Calibri" w:hAnsi="Calibri" w:cs="Calibri"/>
          <w:sz w:val="24"/>
          <w:szCs w:val="24"/>
          <w:lang w:val="en-GB"/>
        </w:rPr>
        <w:t xml:space="preserve">. It also provides an explanation regarding the </w:t>
      </w:r>
      <w:r w:rsidR="00D0076B">
        <w:rPr>
          <w:rFonts w:ascii="Calibri" w:eastAsia="Calibri" w:hAnsi="Calibri" w:cs="Calibri"/>
          <w:sz w:val="24"/>
          <w:szCs w:val="24"/>
          <w:lang w:val="en-GB"/>
        </w:rPr>
        <w:t xml:space="preserve">suggested </w:t>
      </w:r>
      <w:r w:rsidRPr="00CD60B5">
        <w:rPr>
          <w:rFonts w:ascii="Calibri" w:eastAsia="Calibri" w:hAnsi="Calibri" w:cs="Calibri"/>
          <w:sz w:val="24"/>
          <w:szCs w:val="24"/>
          <w:lang w:val="en-GB"/>
        </w:rPr>
        <w:t xml:space="preserve">method of transposition, especially related to the scope and structure of the relevant Directive. This analysis does not aim to recommend the best model but will provide stakeholders with sufficient information to reach the decision on the </w:t>
      </w:r>
      <w:r w:rsidR="00D0076B">
        <w:rPr>
          <w:rFonts w:ascii="Calibri" w:eastAsia="Calibri" w:hAnsi="Calibri" w:cs="Calibri"/>
          <w:sz w:val="24"/>
          <w:szCs w:val="24"/>
          <w:lang w:val="en-GB"/>
        </w:rPr>
        <w:t>approach</w:t>
      </w:r>
      <w:r w:rsidRPr="00CD60B5">
        <w:rPr>
          <w:rFonts w:ascii="Calibri" w:eastAsia="Calibri" w:hAnsi="Calibri" w:cs="Calibri"/>
          <w:sz w:val="24"/>
          <w:szCs w:val="24"/>
          <w:lang w:val="en-GB"/>
        </w:rPr>
        <w:t xml:space="preserve"> best suited for Serbia.</w:t>
      </w:r>
    </w:p>
    <w:p w:rsidR="00395B69" w:rsidRPr="00CD60B5" w:rsidRDefault="00395B69" w:rsidP="00DB318D">
      <w:pPr>
        <w:keepNext w:val="0"/>
        <w:keepLines w:val="0"/>
        <w:spacing w:after="120" w:line="240" w:lineRule="auto"/>
        <w:jc w:val="both"/>
        <w:rPr>
          <w:rFonts w:ascii="Calibri" w:eastAsia="Calibri" w:hAnsi="Calibri" w:cs="Calibri"/>
          <w:iCs/>
          <w:sz w:val="24"/>
          <w:szCs w:val="24"/>
          <w:lang w:val="en-GB"/>
        </w:rPr>
      </w:pPr>
      <w:r w:rsidRPr="00CD60B5">
        <w:rPr>
          <w:rFonts w:ascii="Calibri" w:eastAsia="Calibri" w:hAnsi="Calibri" w:cs="Calibri"/>
          <w:iCs/>
          <w:sz w:val="24"/>
          <w:szCs w:val="24"/>
          <w:lang w:val="en-GB"/>
        </w:rPr>
        <w:t>As a candidate country the Republic of Serbia is required to harmonise its public procurement legislation with</w:t>
      </w:r>
      <w:r w:rsidR="00172D00" w:rsidRPr="00CD60B5">
        <w:rPr>
          <w:rFonts w:ascii="Calibri" w:eastAsia="Calibri" w:hAnsi="Calibri" w:cs="Calibri"/>
          <w:iCs/>
          <w:sz w:val="24"/>
          <w:szCs w:val="24"/>
          <w:lang w:val="en-GB"/>
        </w:rPr>
        <w:t xml:space="preserve"> the</w:t>
      </w:r>
      <w:r w:rsidRPr="00CD60B5">
        <w:rPr>
          <w:rFonts w:ascii="Calibri" w:eastAsia="Calibri" w:hAnsi="Calibri" w:cs="Calibri"/>
          <w:iCs/>
          <w:sz w:val="24"/>
          <w:szCs w:val="24"/>
          <w:lang w:val="en-GB"/>
        </w:rPr>
        <w:t xml:space="preserve"> </w:t>
      </w:r>
      <w:r w:rsidRPr="00CD60B5">
        <w:rPr>
          <w:rFonts w:ascii="Calibri" w:eastAsia="Calibri" w:hAnsi="Calibri" w:cs="Calibri"/>
          <w:i/>
          <w:iCs/>
          <w:sz w:val="24"/>
          <w:szCs w:val="24"/>
          <w:lang w:val="en-GB"/>
        </w:rPr>
        <w:t>acquis</w:t>
      </w:r>
      <w:r w:rsidRPr="00CD60B5">
        <w:rPr>
          <w:rFonts w:ascii="Calibri" w:eastAsia="Calibri" w:hAnsi="Calibri" w:cs="Calibri"/>
          <w:iCs/>
          <w:sz w:val="24"/>
          <w:szCs w:val="24"/>
          <w:lang w:val="en-GB"/>
        </w:rPr>
        <w:t xml:space="preserve"> and to ensure its full implementation. Pursuant to the Public Procurement Development Strategy of the Republic of Serbia for the period 2014 - 2018, the process of harmonisation of national legislation with the </w:t>
      </w:r>
      <w:r w:rsidRPr="00CD60B5">
        <w:rPr>
          <w:rFonts w:ascii="Calibri" w:eastAsia="Calibri" w:hAnsi="Calibri" w:cs="Calibri"/>
          <w:i/>
          <w:iCs/>
          <w:sz w:val="24"/>
          <w:szCs w:val="24"/>
          <w:lang w:val="en-GB"/>
        </w:rPr>
        <w:t>acquis</w:t>
      </w:r>
      <w:r w:rsidRPr="00CD60B5">
        <w:rPr>
          <w:rFonts w:ascii="Calibri" w:eastAsia="Calibri" w:hAnsi="Calibri" w:cs="Calibri"/>
          <w:iCs/>
          <w:sz w:val="24"/>
          <w:szCs w:val="24"/>
          <w:lang w:val="en-GB"/>
        </w:rPr>
        <w:t xml:space="preserve"> will be carried out gradually. In this process </w:t>
      </w:r>
      <w:r w:rsidR="00172D00" w:rsidRPr="00CD60B5">
        <w:rPr>
          <w:rFonts w:ascii="Calibri" w:eastAsia="Calibri" w:hAnsi="Calibri" w:cs="Calibri"/>
          <w:iCs/>
          <w:sz w:val="24"/>
          <w:szCs w:val="24"/>
          <w:lang w:val="en-GB"/>
        </w:rPr>
        <w:t xml:space="preserve">the </w:t>
      </w:r>
      <w:r w:rsidRPr="00CD60B5">
        <w:rPr>
          <w:rFonts w:ascii="Calibri" w:eastAsia="Calibri" w:hAnsi="Calibri" w:cs="Calibri"/>
          <w:iCs/>
          <w:sz w:val="24"/>
          <w:szCs w:val="24"/>
          <w:lang w:val="en-GB"/>
        </w:rPr>
        <w:t xml:space="preserve">Republic of Serbia will pay special attention to the analysis of legislative mechanisms for transposition of provisions of the new Directives by the EU Member States. One of the conditions for the successful harmonization process is </w:t>
      </w:r>
      <w:r w:rsidR="00172D00" w:rsidRPr="00CD60B5">
        <w:rPr>
          <w:rFonts w:ascii="Calibri" w:eastAsia="Calibri" w:hAnsi="Calibri" w:cs="Calibri"/>
          <w:iCs/>
          <w:sz w:val="24"/>
          <w:szCs w:val="24"/>
          <w:lang w:val="en-GB"/>
        </w:rPr>
        <w:t xml:space="preserve">a </w:t>
      </w:r>
      <w:r w:rsidRPr="00CD60B5">
        <w:rPr>
          <w:rFonts w:ascii="Calibri" w:eastAsia="Calibri" w:hAnsi="Calibri" w:cs="Calibri"/>
          <w:iCs/>
          <w:sz w:val="24"/>
          <w:szCs w:val="24"/>
          <w:lang w:val="en-GB"/>
        </w:rPr>
        <w:t xml:space="preserve">decision of Serbian authorities on the method of transposition of EU law, in particular from </w:t>
      </w:r>
      <w:r w:rsidR="00172D00" w:rsidRPr="00CD60B5">
        <w:rPr>
          <w:rFonts w:ascii="Calibri" w:eastAsia="Calibri" w:hAnsi="Calibri" w:cs="Calibri"/>
          <w:iCs/>
          <w:sz w:val="24"/>
          <w:szCs w:val="24"/>
          <w:lang w:val="en-GB"/>
        </w:rPr>
        <w:t xml:space="preserve">an </w:t>
      </w:r>
      <w:r w:rsidRPr="00CD60B5">
        <w:rPr>
          <w:rFonts w:ascii="Calibri" w:eastAsia="Calibri" w:hAnsi="Calibri" w:cs="Calibri"/>
          <w:iCs/>
          <w:sz w:val="24"/>
          <w:szCs w:val="24"/>
          <w:lang w:val="en-GB"/>
        </w:rPr>
        <w:t>aspect of regulating public procu</w:t>
      </w:r>
      <w:r w:rsidR="00C11A7B" w:rsidRPr="00CD60B5">
        <w:rPr>
          <w:rFonts w:ascii="Calibri" w:eastAsia="Calibri" w:hAnsi="Calibri" w:cs="Calibri"/>
          <w:iCs/>
          <w:sz w:val="24"/>
          <w:szCs w:val="24"/>
          <w:lang w:val="en-GB"/>
        </w:rPr>
        <w:t>rement in the fields of defence and</w:t>
      </w:r>
      <w:r w:rsidRPr="00CD60B5">
        <w:rPr>
          <w:rFonts w:ascii="Calibri" w:eastAsia="Calibri" w:hAnsi="Calibri" w:cs="Calibri"/>
          <w:iCs/>
          <w:sz w:val="24"/>
          <w:szCs w:val="24"/>
          <w:lang w:val="en-GB"/>
        </w:rPr>
        <w:t xml:space="preserve"> security, utility and protection of bidders’ rights by separate laws.</w:t>
      </w:r>
    </w:p>
    <w:p w:rsidR="00395B69" w:rsidRPr="00CD60B5" w:rsidRDefault="00395B69" w:rsidP="00DB318D">
      <w:pPr>
        <w:keepNext w:val="0"/>
        <w:keepLines w:val="0"/>
        <w:spacing w:after="120" w:line="240" w:lineRule="auto"/>
        <w:jc w:val="both"/>
        <w:rPr>
          <w:rFonts w:ascii="Calibri" w:eastAsia="Calibri" w:hAnsi="Calibri" w:cs="Calibri"/>
          <w:iCs/>
          <w:sz w:val="24"/>
          <w:szCs w:val="24"/>
          <w:lang w:val="en-GB"/>
        </w:rPr>
      </w:pPr>
      <w:r w:rsidRPr="00CD60B5">
        <w:rPr>
          <w:rFonts w:ascii="Calibri" w:eastAsia="Calibri" w:hAnsi="Calibri" w:cs="Calibri"/>
          <w:sz w:val="24"/>
          <w:szCs w:val="24"/>
          <w:lang w:val="en-GB"/>
        </w:rPr>
        <w:t xml:space="preserve">This document is therefore intended to support the Public Procurement Office, in activities focused on further harmonization of national legislation with the </w:t>
      </w:r>
      <w:r w:rsidRPr="00CD60B5">
        <w:rPr>
          <w:rFonts w:ascii="Calibri" w:eastAsia="Calibri" w:hAnsi="Calibri" w:cs="Calibri"/>
          <w:i/>
          <w:sz w:val="24"/>
          <w:szCs w:val="24"/>
          <w:lang w:val="en-GB"/>
        </w:rPr>
        <w:t>acquis</w:t>
      </w:r>
      <w:r w:rsidRPr="00CD60B5">
        <w:rPr>
          <w:rFonts w:ascii="Calibri" w:eastAsia="Calibri" w:hAnsi="Calibri" w:cs="Calibri"/>
          <w:sz w:val="24"/>
          <w:szCs w:val="24"/>
          <w:lang w:val="en-GB"/>
        </w:rPr>
        <w:t xml:space="preserve"> in the field of public procurement mainly with regard to the decision </w:t>
      </w:r>
      <w:r w:rsidRPr="00CD60B5">
        <w:rPr>
          <w:rFonts w:ascii="Calibri" w:eastAsia="Calibri" w:hAnsi="Calibri" w:cs="Calibri"/>
          <w:iCs/>
          <w:sz w:val="24"/>
          <w:szCs w:val="24"/>
          <w:lang w:val="en-GB"/>
        </w:rPr>
        <w:t>whether to regulate different fields of public procurement in one or more laws and possibly some of the aspects thereof in secondary legislation.</w:t>
      </w:r>
    </w:p>
    <w:p w:rsidR="00395B69" w:rsidRPr="00CD60B5" w:rsidRDefault="003D2F1D" w:rsidP="00DB318D">
      <w:pPr>
        <w:pStyle w:val="Heading1"/>
        <w:keepNext w:val="0"/>
        <w:keepLines w:val="0"/>
        <w:rPr>
          <w:rFonts w:eastAsia="Calibri"/>
          <w:lang w:val="en-GB"/>
        </w:rPr>
      </w:pPr>
      <w:bookmarkStart w:id="2" w:name="_Toc419719670"/>
      <w:r>
        <w:rPr>
          <w:rFonts w:eastAsia="Calibri"/>
          <w:lang w:val="en-GB"/>
        </w:rPr>
        <w:t>2</w:t>
      </w:r>
      <w:r w:rsidR="00BD27E5">
        <w:rPr>
          <w:rFonts w:eastAsia="Calibri"/>
          <w:lang w:val="en-GB"/>
        </w:rPr>
        <w:t xml:space="preserve">. </w:t>
      </w:r>
      <w:r w:rsidR="00395B69" w:rsidRPr="00CD60B5">
        <w:rPr>
          <w:rFonts w:eastAsia="Calibri"/>
          <w:lang w:val="en-GB"/>
        </w:rPr>
        <w:t>State of play</w:t>
      </w:r>
      <w:bookmarkEnd w:id="2"/>
    </w:p>
    <w:p w:rsidR="0083131B" w:rsidRPr="00CD60B5" w:rsidRDefault="0083131B" w:rsidP="0083131B">
      <w:pPr>
        <w:keepNext w:val="0"/>
        <w:keepLines w:val="0"/>
        <w:spacing w:after="120" w:line="240" w:lineRule="auto"/>
        <w:jc w:val="both"/>
        <w:rPr>
          <w:rFonts w:ascii="Calibri" w:eastAsia="Calibri" w:hAnsi="Calibri" w:cs="Calibri"/>
          <w:b/>
          <w:sz w:val="24"/>
          <w:szCs w:val="24"/>
          <w:lang w:val="en-GB"/>
        </w:rPr>
      </w:pPr>
      <w:r>
        <w:rPr>
          <w:rFonts w:ascii="Calibri" w:eastAsia="Calibri" w:hAnsi="Calibri" w:cs="Calibri"/>
          <w:b/>
          <w:sz w:val="24"/>
          <w:szCs w:val="24"/>
          <w:lang w:val="en-GB"/>
        </w:rPr>
        <w:t>Serbian legal framework</w:t>
      </w:r>
    </w:p>
    <w:p w:rsidR="00395B69" w:rsidRPr="00CD60B5" w:rsidRDefault="00395B69" w:rsidP="00DB318D">
      <w:pPr>
        <w:keepNext w:val="0"/>
        <w:keepLines w:val="0"/>
        <w:spacing w:after="120" w:line="240" w:lineRule="auto"/>
        <w:jc w:val="both"/>
        <w:rPr>
          <w:rFonts w:ascii="Calibri" w:eastAsia="Calibri" w:hAnsi="Calibri" w:cs="Calibri"/>
          <w:sz w:val="24"/>
          <w:szCs w:val="24"/>
          <w:lang w:val="en-GB"/>
        </w:rPr>
      </w:pPr>
      <w:r w:rsidRPr="00CD60B5">
        <w:rPr>
          <w:rFonts w:ascii="Calibri" w:eastAsia="Calibri" w:hAnsi="Calibri" w:cs="Calibri"/>
          <w:sz w:val="24"/>
          <w:szCs w:val="24"/>
          <w:lang w:val="en-GB"/>
        </w:rPr>
        <w:t>The basic act regulating the issues of public procurement in Serbia is the Public Procurement Law (“Official Gazette of the RS”, No. 124/12) – henceforth “the PPL”. The PPL was adopted in 2012 and became applicable on 1 April 2013</w:t>
      </w:r>
      <w:r w:rsidR="00466A2E" w:rsidRPr="00CD60B5">
        <w:rPr>
          <w:rFonts w:ascii="Calibri" w:eastAsia="Calibri" w:hAnsi="Calibri" w:cs="Calibri"/>
          <w:sz w:val="24"/>
          <w:szCs w:val="24"/>
          <w:lang w:val="en-GB"/>
        </w:rPr>
        <w:t>,</w:t>
      </w:r>
      <w:r w:rsidRPr="00CD60B5">
        <w:rPr>
          <w:rFonts w:ascii="Calibri" w:eastAsia="Calibri" w:hAnsi="Calibri" w:cs="Calibri"/>
          <w:sz w:val="24"/>
          <w:szCs w:val="24"/>
          <w:lang w:val="en-GB"/>
        </w:rPr>
        <w:t xml:space="preserve"> with exception of Article 78 which became applicable on 1 September 2013. On 12 February 2015 the Law on Amendments to the PPL (“Official Gazette of the RS”, No. 14/15) came into force. In addition to the PPL, there are a number of implementing regulations adopted pursuant to the PPL.</w:t>
      </w:r>
    </w:p>
    <w:p w:rsidR="00395B69" w:rsidRPr="00CD60B5" w:rsidRDefault="00395B69" w:rsidP="00DB318D">
      <w:pPr>
        <w:keepNext w:val="0"/>
        <w:keepLines w:val="0"/>
        <w:spacing w:after="120" w:line="240" w:lineRule="auto"/>
        <w:jc w:val="both"/>
        <w:rPr>
          <w:rFonts w:ascii="Calibri" w:eastAsia="Times New Roman" w:hAnsi="Calibri" w:cs="Calibri"/>
          <w:sz w:val="24"/>
          <w:szCs w:val="24"/>
          <w:lang w:val="en-GB" w:eastAsia="hr-HR"/>
        </w:rPr>
      </w:pPr>
      <w:r w:rsidRPr="00CD60B5">
        <w:rPr>
          <w:rFonts w:ascii="Calibri" w:eastAsia="Calibri" w:hAnsi="Calibri" w:cs="Calibri"/>
          <w:sz w:val="24"/>
          <w:szCs w:val="24"/>
          <w:lang w:val="en-GB"/>
        </w:rPr>
        <w:t xml:space="preserve">In accordance with its Article 1 the PPL </w:t>
      </w:r>
      <w:r w:rsidRPr="00CD60B5">
        <w:rPr>
          <w:rFonts w:ascii="Calibri" w:eastAsia="Times New Roman" w:hAnsi="Calibri" w:cs="Calibri"/>
          <w:sz w:val="24"/>
          <w:szCs w:val="24"/>
          <w:lang w:val="en-GB" w:eastAsia="hr-HR"/>
        </w:rPr>
        <w:t>governs, among other issues:</w:t>
      </w:r>
    </w:p>
    <w:p w:rsidR="00395B69" w:rsidRPr="00CD60B5" w:rsidRDefault="00395B69" w:rsidP="00DB318D">
      <w:pPr>
        <w:keepNext w:val="0"/>
        <w:keepLines w:val="0"/>
        <w:numPr>
          <w:ilvl w:val="0"/>
          <w:numId w:val="1"/>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the planning of public procurement</w:t>
      </w:r>
    </w:p>
    <w:p w:rsidR="00395B69" w:rsidRPr="00CD60B5" w:rsidRDefault="00395B69" w:rsidP="00DB318D">
      <w:pPr>
        <w:keepNext w:val="0"/>
        <w:keepLines w:val="0"/>
        <w:numPr>
          <w:ilvl w:val="0"/>
          <w:numId w:val="1"/>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the requirements, manner and procedures of public procurement</w:t>
      </w:r>
    </w:p>
    <w:p w:rsidR="00395B69" w:rsidRPr="00CD60B5" w:rsidRDefault="00395B69" w:rsidP="00DB318D">
      <w:pPr>
        <w:keepNext w:val="0"/>
        <w:keepLines w:val="0"/>
        <w:numPr>
          <w:ilvl w:val="0"/>
          <w:numId w:val="1"/>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the public procurement in the areas of water management, energy, communication and postal services</w:t>
      </w:r>
    </w:p>
    <w:p w:rsidR="00395B69" w:rsidRPr="00CD60B5" w:rsidRDefault="00395B69" w:rsidP="00DB318D">
      <w:pPr>
        <w:keepNext w:val="0"/>
        <w:keepLines w:val="0"/>
        <w:numPr>
          <w:ilvl w:val="0"/>
          <w:numId w:val="1"/>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the public procurement in the area of defence and security</w:t>
      </w:r>
    </w:p>
    <w:p w:rsidR="00395B69" w:rsidRPr="00CD60B5" w:rsidRDefault="00395B69" w:rsidP="00DB318D">
      <w:pPr>
        <w:keepNext w:val="0"/>
        <w:keepLines w:val="0"/>
        <w:numPr>
          <w:ilvl w:val="0"/>
          <w:numId w:val="1"/>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lastRenderedPageBreak/>
        <w:t>the tasks, manner of work and organizational forms of the Public Procurement Office and the Republic Commission for the Protection of Rights in Public Procurement Procedures</w:t>
      </w:r>
    </w:p>
    <w:p w:rsidR="00395B69" w:rsidRPr="00CD60B5" w:rsidRDefault="00395B69" w:rsidP="00DB318D">
      <w:pPr>
        <w:keepNext w:val="0"/>
        <w:keepLines w:val="0"/>
        <w:numPr>
          <w:ilvl w:val="0"/>
          <w:numId w:val="1"/>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the manner of protecting the rights in public procurement procedures and in other cases in accordance with the PPL.</w:t>
      </w:r>
    </w:p>
    <w:p w:rsidR="00395B69" w:rsidRPr="00CD60B5" w:rsidRDefault="00395B69" w:rsidP="00DB318D">
      <w:pPr>
        <w:keepNext w:val="0"/>
        <w:keepLines w:val="0"/>
        <w:spacing w:after="120" w:line="240" w:lineRule="auto"/>
        <w:jc w:val="both"/>
        <w:rPr>
          <w:rFonts w:ascii="Calibri" w:eastAsia="Calibri" w:hAnsi="Calibri" w:cs="Calibri"/>
          <w:sz w:val="24"/>
          <w:szCs w:val="24"/>
          <w:lang w:val="en-GB"/>
        </w:rPr>
      </w:pPr>
      <w:r w:rsidRPr="00CD60B5">
        <w:rPr>
          <w:rFonts w:ascii="Calibri" w:eastAsia="Calibri" w:hAnsi="Calibri" w:cs="Calibri"/>
          <w:sz w:val="24"/>
          <w:szCs w:val="24"/>
          <w:lang w:val="en-GB"/>
        </w:rPr>
        <w:t>The PPL is based, as regards its procedures of awarding contracts, on three EU</w:t>
      </w:r>
      <w:r w:rsidR="001F7BBB" w:rsidRPr="00CD60B5">
        <w:rPr>
          <w:rFonts w:ascii="Calibri" w:eastAsia="Calibri" w:hAnsi="Calibri" w:cs="Calibri"/>
          <w:sz w:val="24"/>
          <w:szCs w:val="24"/>
          <w:lang w:val="en-GB"/>
        </w:rPr>
        <w:t xml:space="preserve"> Public Procurement Directives</w:t>
      </w:r>
      <w:r w:rsidRPr="00CD60B5">
        <w:rPr>
          <w:rFonts w:ascii="Calibri" w:eastAsia="Calibri" w:hAnsi="Calibri" w:cs="Calibri"/>
          <w:sz w:val="24"/>
          <w:szCs w:val="24"/>
          <w:lang w:val="en-GB"/>
        </w:rPr>
        <w:t xml:space="preserve">: </w:t>
      </w:r>
    </w:p>
    <w:p w:rsidR="00395B69" w:rsidRPr="00CD60B5" w:rsidRDefault="00395B69"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 xml:space="preserve">Directive 2004/18/EC of the European Parliament and of the Council of 31 March 2004 on the coordination of procedures for the award of public works contracts, public supply contracts and public service contracts (henceforth: Public Sector Directive) </w:t>
      </w:r>
    </w:p>
    <w:p w:rsidR="00395B69" w:rsidRPr="00CD60B5" w:rsidRDefault="00395B69"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Directive 2004/17/EC of the European Parliament and of the Council of 31 March 2004 coordinating the procurement procedures of entities operating in the water, energy, transport and postal services sectors (henceforth: Utilities Directive)</w:t>
      </w:r>
    </w:p>
    <w:p w:rsidR="00395B69" w:rsidRPr="00CD60B5" w:rsidRDefault="00395B69"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Directive 2009/81/EC of the European Parliament and of the Council of 13 July 2009 on the coordination of procedures for the award of certain works contracts, supply contracts and service contracts by contracting authorities or entities in the fields of defence and security, and amending Directives 2004/17/EC and 2004/18/EC (henceforth: Defence Directive).</w:t>
      </w:r>
    </w:p>
    <w:p w:rsidR="00395B69" w:rsidRPr="00CD60B5" w:rsidRDefault="00395B69" w:rsidP="00DB318D">
      <w:pPr>
        <w:keepNext w:val="0"/>
        <w:keepLines w:val="0"/>
        <w:spacing w:after="120" w:line="240" w:lineRule="auto"/>
        <w:jc w:val="both"/>
        <w:rPr>
          <w:rFonts w:ascii="Calibri" w:eastAsia="Calibri" w:hAnsi="Calibri" w:cs="Calibri"/>
          <w:sz w:val="24"/>
          <w:szCs w:val="24"/>
          <w:lang w:val="en-GB"/>
        </w:rPr>
      </w:pPr>
      <w:r w:rsidRPr="00CD60B5">
        <w:rPr>
          <w:rFonts w:ascii="Calibri" w:eastAsia="Calibri" w:hAnsi="Calibri" w:cs="Calibri"/>
          <w:sz w:val="24"/>
          <w:szCs w:val="24"/>
          <w:lang w:val="en-GB"/>
        </w:rPr>
        <w:t>As regards legal measures and procedures available to aggrieved economic operators (review and remedies) the PPL is based on provisions of two EU directives</w:t>
      </w:r>
      <w:r w:rsidR="001F7BBB" w:rsidRPr="00CD60B5">
        <w:rPr>
          <w:rFonts w:ascii="Calibri" w:eastAsia="Calibri" w:hAnsi="Calibri" w:cs="Calibri"/>
          <w:sz w:val="24"/>
          <w:szCs w:val="24"/>
          <w:lang w:val="en-GB"/>
        </w:rPr>
        <w:t>:</w:t>
      </w:r>
      <w:r w:rsidRPr="00CD60B5">
        <w:rPr>
          <w:rFonts w:ascii="Calibri" w:eastAsia="Calibri" w:hAnsi="Calibri" w:cs="Calibri"/>
          <w:sz w:val="24"/>
          <w:szCs w:val="24"/>
          <w:lang w:val="en-GB"/>
        </w:rPr>
        <w:t xml:space="preserve"> </w:t>
      </w:r>
    </w:p>
    <w:p w:rsidR="00395B69" w:rsidRPr="00CD60B5" w:rsidRDefault="00395B69" w:rsidP="00DB318D">
      <w:pPr>
        <w:keepNext w:val="0"/>
        <w:keepLines w:val="0"/>
        <w:numPr>
          <w:ilvl w:val="0"/>
          <w:numId w:val="3"/>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 xml:space="preserve">Council Directive 89/665/EEC of 21 December 1989 on the coordination of the laws, regulations and administrative provisions relating to the application of review procedures to the award of public supply and public works contracts, </w:t>
      </w:r>
    </w:p>
    <w:p w:rsidR="00395B69" w:rsidRPr="00CD60B5" w:rsidRDefault="00395B69" w:rsidP="00DB318D">
      <w:pPr>
        <w:keepNext w:val="0"/>
        <w:keepLines w:val="0"/>
        <w:numPr>
          <w:ilvl w:val="0"/>
          <w:numId w:val="3"/>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Council Directive 92/13/EEC of 25 February 1992 coordinating the laws, regulations and administrative provisions relating to the application of Community rules on the procurement procedures of entities operating in the water, energy, transport and telecommunications sectors</w:t>
      </w:r>
    </w:p>
    <w:p w:rsidR="00395B69" w:rsidRPr="00CD60B5" w:rsidRDefault="00395B69" w:rsidP="00DB318D">
      <w:pPr>
        <w:keepNext w:val="0"/>
        <w:keepLines w:val="0"/>
        <w:spacing w:after="120" w:line="240" w:lineRule="auto"/>
        <w:jc w:val="both"/>
        <w:rPr>
          <w:rFonts w:ascii="Calibri" w:eastAsia="Calibri" w:hAnsi="Calibri" w:cs="Calibri"/>
          <w:sz w:val="24"/>
          <w:szCs w:val="24"/>
          <w:lang w:val="en-GB"/>
        </w:rPr>
      </w:pPr>
      <w:r w:rsidRPr="00CD60B5">
        <w:rPr>
          <w:rFonts w:ascii="Calibri" w:eastAsia="Calibri" w:hAnsi="Calibri" w:cs="Calibri"/>
          <w:sz w:val="24"/>
          <w:szCs w:val="24"/>
          <w:lang w:val="en-GB"/>
        </w:rPr>
        <w:t xml:space="preserve">both amended by:  </w:t>
      </w:r>
    </w:p>
    <w:p w:rsidR="00395B69" w:rsidRPr="00CD60B5" w:rsidRDefault="00395B69"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 xml:space="preserve">Directive 2007/66/EC of the European Parliament and of the Council of 11 December 2007 amending Council Directives 89/665/EEC and 92/13/EEC with regard to improving the effectiveness of review procedures concerning the award of public contracts (henceforth: Remedies Directives). </w:t>
      </w:r>
    </w:p>
    <w:p w:rsidR="00395B69" w:rsidRPr="00CD60B5" w:rsidRDefault="00D0076B" w:rsidP="00DB318D">
      <w:pPr>
        <w:keepNext w:val="0"/>
        <w:keepLines w:val="0"/>
        <w:spacing w:after="120" w:line="240" w:lineRule="auto"/>
        <w:jc w:val="both"/>
        <w:rPr>
          <w:rFonts w:ascii="Calibri" w:eastAsia="Calibri" w:hAnsi="Calibri" w:cs="Calibri"/>
          <w:sz w:val="24"/>
          <w:szCs w:val="24"/>
          <w:lang w:val="en-GB"/>
        </w:rPr>
      </w:pPr>
      <w:r w:rsidRPr="00D0076B">
        <w:rPr>
          <w:rFonts w:ascii="Calibri" w:eastAsia="Calibri" w:hAnsi="Calibri" w:cs="Calibri"/>
          <w:sz w:val="24"/>
          <w:szCs w:val="24"/>
          <w:lang w:val="en-GB"/>
        </w:rPr>
        <w:t xml:space="preserve">From the above mentioned scope of the PPL, </w:t>
      </w:r>
      <w:r w:rsidR="001F7BBB" w:rsidRPr="00D0076B">
        <w:rPr>
          <w:rFonts w:ascii="Calibri" w:eastAsia="Calibri" w:hAnsi="Calibri" w:cs="Calibri"/>
          <w:sz w:val="24"/>
          <w:szCs w:val="24"/>
          <w:lang w:val="en-GB"/>
        </w:rPr>
        <w:t>it is apparent</w:t>
      </w:r>
      <w:r w:rsidR="00395B69" w:rsidRPr="00D0076B">
        <w:rPr>
          <w:rFonts w:ascii="Calibri" w:eastAsia="Calibri" w:hAnsi="Calibri" w:cs="Calibri"/>
          <w:sz w:val="24"/>
          <w:szCs w:val="24"/>
          <w:lang w:val="en-GB"/>
        </w:rPr>
        <w:t xml:space="preserve"> the Serbian legislator decided to regulate the public, utilities and defence procurement sectors as well as review and remedies procedures in a single act.</w:t>
      </w:r>
      <w:r w:rsidR="00395B69" w:rsidRPr="00CD60B5">
        <w:rPr>
          <w:rFonts w:ascii="Calibri" w:eastAsia="Calibri" w:hAnsi="Calibri" w:cs="Calibri"/>
          <w:sz w:val="24"/>
          <w:szCs w:val="24"/>
          <w:lang w:val="en-GB"/>
        </w:rPr>
        <w:t xml:space="preserve"> </w:t>
      </w:r>
      <w:r>
        <w:rPr>
          <w:rFonts w:ascii="Calibri" w:eastAsia="Calibri" w:hAnsi="Calibri" w:cs="Calibri"/>
          <w:sz w:val="24"/>
          <w:szCs w:val="24"/>
          <w:lang w:val="en-GB"/>
        </w:rPr>
        <w:t>In addition, further details of defence and security procurement is regulated by Regulation</w:t>
      </w:r>
      <w:r w:rsidRPr="00D0076B">
        <w:rPr>
          <w:rFonts w:ascii="Calibri" w:eastAsia="Times New Roman" w:hAnsi="Calibri" w:cs="Calibri"/>
          <w:sz w:val="24"/>
          <w:szCs w:val="24"/>
          <w:lang w:val="en-GB"/>
        </w:rPr>
        <w:t xml:space="preserve"> on public procurement procedure in the field of defence and security, </w:t>
      </w:r>
      <w:r w:rsidR="0075615B">
        <w:rPr>
          <w:rFonts w:ascii="Calibri" w:eastAsia="Times New Roman" w:hAnsi="Calibri" w:cs="Calibri"/>
          <w:sz w:val="24"/>
          <w:szCs w:val="24"/>
          <w:lang w:val="en-GB"/>
        </w:rPr>
        <w:t>“</w:t>
      </w:r>
      <w:r w:rsidRPr="00D0076B">
        <w:rPr>
          <w:rFonts w:ascii="Calibri" w:eastAsia="Times New Roman" w:hAnsi="Calibri" w:cs="Calibri"/>
          <w:sz w:val="24"/>
          <w:szCs w:val="24"/>
          <w:lang w:val="en-GB"/>
        </w:rPr>
        <w:t>Official Gazette of the RS“, No. 82/2014</w:t>
      </w:r>
      <w:r>
        <w:rPr>
          <w:rFonts w:ascii="Calibri" w:eastAsia="Times New Roman" w:hAnsi="Calibri" w:cs="Calibri"/>
          <w:sz w:val="24"/>
          <w:szCs w:val="24"/>
          <w:lang w:val="en-GB"/>
        </w:rPr>
        <w:t>.</w:t>
      </w:r>
    </w:p>
    <w:p w:rsidR="00395B69" w:rsidRPr="00CD60B5" w:rsidRDefault="00395B69" w:rsidP="00DB318D">
      <w:pPr>
        <w:keepNext w:val="0"/>
        <w:keepLines w:val="0"/>
        <w:spacing w:after="120" w:line="240" w:lineRule="auto"/>
        <w:jc w:val="both"/>
        <w:rPr>
          <w:rFonts w:ascii="Calibri" w:eastAsia="Calibri" w:hAnsi="Calibri" w:cs="Calibri"/>
          <w:b/>
          <w:sz w:val="24"/>
          <w:szCs w:val="24"/>
          <w:lang w:val="en-GB"/>
        </w:rPr>
      </w:pPr>
      <w:r w:rsidRPr="00CD60B5">
        <w:rPr>
          <w:rFonts w:ascii="Calibri" w:eastAsia="Calibri" w:hAnsi="Calibri" w:cs="Calibri"/>
          <w:b/>
          <w:sz w:val="24"/>
          <w:szCs w:val="24"/>
          <w:lang w:val="en-GB"/>
        </w:rPr>
        <w:t>New Directives</w:t>
      </w:r>
    </w:p>
    <w:p w:rsidR="00395B69" w:rsidRPr="00CD60B5" w:rsidRDefault="00395B69"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On 26 February 2014 the European Parliament and the Council adopted three new directives on public procurement and concession contracts: </w:t>
      </w:r>
    </w:p>
    <w:p w:rsidR="00395B69" w:rsidRPr="00CD60B5" w:rsidRDefault="00395B69"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Directive 2014/24/EU of the European Parliament and of the Council of 26 February 2014 on public procurement and repealing directive 2004/18/EC (referred as “the new Public Sector Directive”</w:t>
      </w:r>
      <w:r w:rsidR="00D0076B">
        <w:rPr>
          <w:rFonts w:ascii="Calibri" w:eastAsia="Times New Roman" w:hAnsi="Calibri" w:cs="Calibri"/>
          <w:sz w:val="24"/>
          <w:szCs w:val="24"/>
          <w:lang w:val="en-GB" w:eastAsia="hr-HR"/>
        </w:rPr>
        <w:t xml:space="preserve"> or “new classical directive”)</w:t>
      </w:r>
    </w:p>
    <w:p w:rsidR="00395B69" w:rsidRPr="00CD60B5" w:rsidRDefault="00395B69"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lastRenderedPageBreak/>
        <w:t>Directive 2014/25/EU of the European Parliament and of the Council of 26 February 2014 on procurement by entities operating in the water, energy, transport and postal services sectors and repealing directive 2004/17/EC (“</w:t>
      </w:r>
      <w:r w:rsidR="00D0076B">
        <w:rPr>
          <w:rFonts w:ascii="Calibri" w:eastAsia="Times New Roman" w:hAnsi="Calibri" w:cs="Calibri"/>
          <w:sz w:val="24"/>
          <w:szCs w:val="24"/>
          <w:lang w:val="en-GB" w:eastAsia="hr-HR"/>
        </w:rPr>
        <w:t>the new Utilities Directive”)</w:t>
      </w:r>
    </w:p>
    <w:p w:rsidR="00395B69" w:rsidRPr="00CD60B5" w:rsidRDefault="00395B69"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 xml:space="preserve">Directive 2014/23/EU of the European Parliament and of the Council of 26 February 2014 on the award of concession contracts (“Concessions Directive”). </w:t>
      </w:r>
    </w:p>
    <w:p w:rsidR="001F7BBB" w:rsidRPr="00CD60B5" w:rsidRDefault="00395B69"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Those three new directives were published in the Official Journal of the European Union L 94 dated 28</w:t>
      </w:r>
      <w:r w:rsidR="005D5EC9" w:rsidRPr="00CD60B5">
        <w:rPr>
          <w:rFonts w:ascii="Calibri" w:eastAsia="Calibri" w:hAnsi="Calibri" w:cs="Calibri"/>
          <w:sz w:val="24"/>
          <w:szCs w:val="20"/>
          <w:lang w:val="en-GB"/>
        </w:rPr>
        <w:t xml:space="preserve"> March </w:t>
      </w:r>
      <w:r w:rsidRPr="00CD60B5">
        <w:rPr>
          <w:rFonts w:ascii="Calibri" w:eastAsia="Calibri" w:hAnsi="Calibri" w:cs="Calibri"/>
          <w:sz w:val="24"/>
          <w:szCs w:val="20"/>
          <w:lang w:val="en-GB"/>
        </w:rPr>
        <w:t xml:space="preserve">2014. They entered into force on April 17, 2014. </w:t>
      </w:r>
    </w:p>
    <w:p w:rsidR="001F7BBB" w:rsidRPr="00CD60B5" w:rsidRDefault="00395B69"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The new Public Sector Directive repeals and replaces Public Sector Directive 2004/18/EC while the new Utilities Directive repeals and replaces Utilities Directive 2004/17/EC. Directives 2004/18 and 2004/17 cease to be applicable, however, only as of April 18, 2016. This means that until that date two sets of procurement directives</w:t>
      </w:r>
      <w:r w:rsidR="001F7BBB" w:rsidRPr="00CD60B5">
        <w:rPr>
          <w:rFonts w:ascii="Calibri" w:eastAsia="Calibri" w:hAnsi="Calibri" w:cs="Calibri"/>
          <w:sz w:val="24"/>
          <w:szCs w:val="20"/>
          <w:lang w:val="en-GB"/>
        </w:rPr>
        <w:t xml:space="preserve">, “old” and “new”, </w:t>
      </w:r>
      <w:r w:rsidRPr="00CD60B5">
        <w:rPr>
          <w:rFonts w:ascii="Calibri" w:eastAsia="Calibri" w:hAnsi="Calibri" w:cs="Calibri"/>
          <w:sz w:val="24"/>
          <w:szCs w:val="20"/>
          <w:lang w:val="en-GB"/>
        </w:rPr>
        <w:t>co</w:t>
      </w:r>
      <w:r w:rsidR="001F7BBB" w:rsidRPr="00CD60B5">
        <w:rPr>
          <w:rFonts w:ascii="Calibri" w:eastAsia="Calibri" w:hAnsi="Calibri" w:cs="Calibri"/>
          <w:sz w:val="24"/>
          <w:szCs w:val="20"/>
          <w:lang w:val="en-GB"/>
        </w:rPr>
        <w:t>–exist</w:t>
      </w:r>
      <w:r w:rsidRPr="00CD60B5">
        <w:rPr>
          <w:rFonts w:ascii="Calibri" w:eastAsia="Calibri" w:hAnsi="Calibri" w:cs="Calibri"/>
          <w:sz w:val="24"/>
          <w:szCs w:val="20"/>
          <w:lang w:val="en-GB"/>
        </w:rPr>
        <w:t>.</w:t>
      </w:r>
    </w:p>
    <w:p w:rsidR="00395B69" w:rsidRPr="00CD60B5" w:rsidRDefault="00DF37F7"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The </w:t>
      </w:r>
      <w:r w:rsidR="00395B69" w:rsidRPr="00CD60B5">
        <w:rPr>
          <w:rFonts w:ascii="Calibri" w:eastAsia="Calibri" w:hAnsi="Calibri" w:cs="Calibri"/>
          <w:sz w:val="24"/>
          <w:szCs w:val="20"/>
          <w:lang w:val="en-GB"/>
        </w:rPr>
        <w:t xml:space="preserve">Concessions Directive on the other hand, in addition to imposing new rules on award of concessions contracts, </w:t>
      </w:r>
      <w:r w:rsidR="001F7BBB" w:rsidRPr="00CD60B5">
        <w:rPr>
          <w:rFonts w:ascii="Calibri" w:eastAsia="Calibri" w:hAnsi="Calibri" w:cs="Calibri"/>
          <w:sz w:val="24"/>
          <w:szCs w:val="20"/>
          <w:lang w:val="en-GB"/>
        </w:rPr>
        <w:t>amends also Remedies Directives</w:t>
      </w:r>
      <w:r w:rsidR="00395B69" w:rsidRPr="00CD60B5">
        <w:rPr>
          <w:rFonts w:ascii="Calibri" w:eastAsia="Calibri" w:hAnsi="Calibri" w:cs="Calibri"/>
          <w:sz w:val="24"/>
          <w:szCs w:val="20"/>
          <w:lang w:val="en-GB"/>
        </w:rPr>
        <w:t>. Concessions Directive is entirely new</w:t>
      </w:r>
      <w:r w:rsidR="00D0076B">
        <w:rPr>
          <w:rFonts w:ascii="Calibri" w:eastAsia="Calibri" w:hAnsi="Calibri" w:cs="Calibri"/>
          <w:sz w:val="24"/>
          <w:szCs w:val="20"/>
          <w:lang w:val="en-GB"/>
        </w:rPr>
        <w:t>. U</w:t>
      </w:r>
      <w:r w:rsidR="00395B69" w:rsidRPr="00CD60B5">
        <w:rPr>
          <w:rFonts w:ascii="Calibri" w:eastAsia="Calibri" w:hAnsi="Calibri" w:cs="Calibri"/>
          <w:sz w:val="24"/>
          <w:szCs w:val="20"/>
          <w:lang w:val="en-GB"/>
        </w:rPr>
        <w:t xml:space="preserve">ntil its adoption only award of works concessions was partly regulated by </w:t>
      </w:r>
      <w:r w:rsidR="00CD4C76" w:rsidRPr="00CD60B5">
        <w:rPr>
          <w:rFonts w:ascii="Calibri" w:eastAsia="Calibri" w:hAnsi="Calibri" w:cs="Calibri"/>
          <w:sz w:val="24"/>
          <w:szCs w:val="20"/>
          <w:lang w:val="en-GB"/>
        </w:rPr>
        <w:t xml:space="preserve">the </w:t>
      </w:r>
      <w:r w:rsidR="001F7BBB" w:rsidRPr="00CD60B5">
        <w:rPr>
          <w:rFonts w:ascii="Calibri" w:eastAsia="Calibri" w:hAnsi="Calibri" w:cs="Calibri"/>
          <w:sz w:val="24"/>
          <w:szCs w:val="20"/>
          <w:lang w:val="en-GB"/>
        </w:rPr>
        <w:t>Public Sector</w:t>
      </w:r>
      <w:r w:rsidR="00395B69" w:rsidRPr="00CD60B5">
        <w:rPr>
          <w:rFonts w:ascii="Calibri" w:eastAsia="Calibri" w:hAnsi="Calibri" w:cs="Calibri"/>
          <w:sz w:val="24"/>
          <w:szCs w:val="20"/>
          <w:lang w:val="en-GB"/>
        </w:rPr>
        <w:t xml:space="preserve"> </w:t>
      </w:r>
      <w:r w:rsidR="001F7BBB" w:rsidRPr="00CD60B5">
        <w:rPr>
          <w:rFonts w:ascii="Calibri" w:eastAsia="Calibri" w:hAnsi="Calibri" w:cs="Calibri"/>
          <w:sz w:val="24"/>
          <w:szCs w:val="20"/>
          <w:lang w:val="en-GB"/>
        </w:rPr>
        <w:t>D</w:t>
      </w:r>
      <w:r w:rsidR="00395B69" w:rsidRPr="00CD60B5">
        <w:rPr>
          <w:rFonts w:ascii="Calibri" w:eastAsia="Calibri" w:hAnsi="Calibri" w:cs="Calibri"/>
          <w:sz w:val="24"/>
          <w:szCs w:val="20"/>
          <w:lang w:val="en-GB"/>
        </w:rPr>
        <w:t>irective. The Concessions Directive covers, for the first time in EU law, in comprehensive manner, both works and service concessions. It codifies relatively rich case law of the Court of Justice of the European Union on concessions offering, at the same time, some discretion as for the precise way how the procedures leading to award of concessions</w:t>
      </w:r>
      <w:r w:rsidR="00D0076B">
        <w:rPr>
          <w:rFonts w:ascii="Calibri" w:eastAsia="Calibri" w:hAnsi="Calibri" w:cs="Calibri"/>
          <w:sz w:val="24"/>
          <w:szCs w:val="20"/>
          <w:lang w:val="en-GB"/>
        </w:rPr>
        <w:t xml:space="preserve"> are to be designed by Member S</w:t>
      </w:r>
      <w:r w:rsidR="00395B69" w:rsidRPr="00CD60B5">
        <w:rPr>
          <w:rFonts w:ascii="Calibri" w:eastAsia="Calibri" w:hAnsi="Calibri" w:cs="Calibri"/>
          <w:sz w:val="24"/>
          <w:szCs w:val="20"/>
          <w:lang w:val="en-GB"/>
        </w:rPr>
        <w:t xml:space="preserve">tates. </w:t>
      </w:r>
      <w:r w:rsidR="00655851" w:rsidRPr="00CD60B5">
        <w:rPr>
          <w:rFonts w:ascii="Calibri" w:eastAsia="Calibri" w:hAnsi="Calibri" w:cs="Calibri"/>
          <w:sz w:val="24"/>
          <w:szCs w:val="20"/>
          <w:lang w:val="en-GB"/>
        </w:rPr>
        <w:t xml:space="preserve">However, </w:t>
      </w:r>
      <w:r w:rsidR="00466A2E" w:rsidRPr="00CD60B5">
        <w:rPr>
          <w:rFonts w:ascii="Calibri" w:eastAsia="Calibri" w:hAnsi="Calibri" w:cs="Calibri"/>
          <w:sz w:val="24"/>
          <w:szCs w:val="20"/>
          <w:lang w:val="en-GB"/>
        </w:rPr>
        <w:t>t</w:t>
      </w:r>
      <w:r w:rsidR="00395B69" w:rsidRPr="00CD60B5">
        <w:rPr>
          <w:rFonts w:ascii="Calibri" w:eastAsia="Calibri" w:hAnsi="Calibri" w:cs="Calibri"/>
          <w:sz w:val="24"/>
          <w:szCs w:val="20"/>
          <w:lang w:val="en-GB"/>
        </w:rPr>
        <w:t xml:space="preserve">he Concessions Directive is not covered by this analysis.  </w:t>
      </w:r>
    </w:p>
    <w:p w:rsidR="00395B69" w:rsidRPr="00CD60B5" w:rsidRDefault="00395B69"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All three new directives have to be transposed to legal orders of EU </w:t>
      </w:r>
      <w:r w:rsidR="00D0076B">
        <w:rPr>
          <w:rFonts w:ascii="Calibri" w:eastAsia="Calibri" w:hAnsi="Calibri" w:cs="Calibri"/>
          <w:sz w:val="24"/>
          <w:szCs w:val="20"/>
          <w:lang w:val="en-GB"/>
        </w:rPr>
        <w:t>M</w:t>
      </w:r>
      <w:r w:rsidRPr="00CD60B5">
        <w:rPr>
          <w:rFonts w:ascii="Calibri" w:eastAsia="Calibri" w:hAnsi="Calibri" w:cs="Calibri"/>
          <w:sz w:val="24"/>
          <w:szCs w:val="20"/>
          <w:lang w:val="en-GB"/>
        </w:rPr>
        <w:t xml:space="preserve">ember </w:t>
      </w:r>
      <w:r w:rsidR="00D0076B">
        <w:rPr>
          <w:rFonts w:ascii="Calibri" w:eastAsia="Calibri" w:hAnsi="Calibri" w:cs="Calibri"/>
          <w:sz w:val="24"/>
          <w:szCs w:val="20"/>
          <w:lang w:val="en-GB"/>
        </w:rPr>
        <w:t>S</w:t>
      </w:r>
      <w:r w:rsidRPr="00CD60B5">
        <w:rPr>
          <w:rFonts w:ascii="Calibri" w:eastAsia="Calibri" w:hAnsi="Calibri" w:cs="Calibri"/>
          <w:sz w:val="24"/>
          <w:szCs w:val="20"/>
          <w:lang w:val="en-GB"/>
        </w:rPr>
        <w:t xml:space="preserve">tates, in principle, within 24 months following their entry into force (i.e. until April 18, 2016). A longer time period is available for application of mandatory electronic communication in procurement procedures (electronic tendering) - 54 months counted from the entry into force of the directive, i. e. until October 18, 2018. </w:t>
      </w:r>
    </w:p>
    <w:p w:rsidR="00846E3A" w:rsidRPr="00CD60B5" w:rsidRDefault="00466A2E" w:rsidP="00DB318D">
      <w:pPr>
        <w:keepNext w:val="0"/>
        <w:keepLines w:val="0"/>
        <w:spacing w:after="120" w:line="240" w:lineRule="auto"/>
        <w:jc w:val="both"/>
        <w:rPr>
          <w:rFonts w:ascii="Calibri" w:eastAsia="Calibri" w:hAnsi="Calibri" w:cs="Calibri"/>
          <w:b/>
          <w:sz w:val="24"/>
          <w:szCs w:val="24"/>
          <w:lang w:val="en-GB"/>
        </w:rPr>
      </w:pPr>
      <w:r w:rsidRPr="00CD60B5">
        <w:rPr>
          <w:rFonts w:ascii="Calibri" w:eastAsia="Calibri" w:hAnsi="Calibri" w:cs="Calibri"/>
          <w:b/>
          <w:sz w:val="24"/>
          <w:szCs w:val="24"/>
          <w:lang w:val="en-GB"/>
        </w:rPr>
        <w:t>General note on transposition of EU directives</w:t>
      </w:r>
    </w:p>
    <w:p w:rsidR="00D821C2" w:rsidRPr="00CD60B5" w:rsidRDefault="00D821C2"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New 2014 public procurement rules were established, as it is also the case of older rules, by means of a directive. Article 288 of the Treaty on the functioning of the European Union (TFEU) lists legal tools which are available to European Union’s institutions for the purpose of performing European Union’s competences. This Article mentions regulations, directives and decisions.</w:t>
      </w:r>
    </w:p>
    <w:p w:rsidR="001F7BBB" w:rsidRPr="00CD60B5" w:rsidRDefault="001F7BBB"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The Directives are intended to co-ordinate national contract award procedures by introducing a minimum body of common procedural rules that reflect the basic Treaty principles rather than to achieve the harmonisation of all national rules on public procurement. The Directives thus limit their scope to those measures required for the co-ordi</w:t>
      </w:r>
      <w:r w:rsidR="00891FCB" w:rsidRPr="00CD60B5">
        <w:rPr>
          <w:rFonts w:ascii="Calibri" w:eastAsia="Calibri" w:hAnsi="Calibri" w:cs="Calibri"/>
          <w:sz w:val="24"/>
          <w:szCs w:val="20"/>
          <w:lang w:val="en-GB"/>
        </w:rPr>
        <w:t>nation exercise and permit the Member S</w:t>
      </w:r>
      <w:r w:rsidRPr="00CD60B5">
        <w:rPr>
          <w:rFonts w:ascii="Calibri" w:eastAsia="Calibri" w:hAnsi="Calibri" w:cs="Calibri"/>
          <w:sz w:val="24"/>
          <w:szCs w:val="20"/>
          <w:lang w:val="en-GB"/>
        </w:rPr>
        <w:t>tates to maintain or adopt substantive and procedural rules to the extent that these are not in conflict with the Directives or with Treaty provisions.</w:t>
      </w:r>
    </w:p>
    <w:p w:rsidR="00866C75" w:rsidRPr="00CD60B5" w:rsidRDefault="00866C75"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Member states are bound to take all appropriate measures to ensure the fulfilment of the obligations arising out of the Treaty or resulting from actions taken by the </w:t>
      </w:r>
      <w:r w:rsidR="00833D61" w:rsidRPr="00CD60B5">
        <w:rPr>
          <w:rFonts w:ascii="Calibri" w:eastAsia="Calibri" w:hAnsi="Calibri" w:cs="Calibri"/>
          <w:sz w:val="24"/>
          <w:szCs w:val="20"/>
          <w:lang w:val="en-GB"/>
        </w:rPr>
        <w:t xml:space="preserve">EU </w:t>
      </w:r>
      <w:r w:rsidRPr="00CD60B5">
        <w:rPr>
          <w:rFonts w:ascii="Calibri" w:eastAsia="Calibri" w:hAnsi="Calibri" w:cs="Calibri"/>
          <w:sz w:val="24"/>
          <w:szCs w:val="20"/>
          <w:lang w:val="en-GB"/>
        </w:rPr>
        <w:t>institutions</w:t>
      </w:r>
      <w:r w:rsidR="00891FCB" w:rsidRPr="00CD60B5">
        <w:rPr>
          <w:rFonts w:ascii="Calibri" w:eastAsia="Calibri" w:hAnsi="Calibri" w:cs="Calibri"/>
          <w:sz w:val="24"/>
          <w:szCs w:val="20"/>
          <w:lang w:val="en-GB"/>
        </w:rPr>
        <w:t>. The procurement directives, like all d</w:t>
      </w:r>
      <w:r w:rsidRPr="00CD60B5">
        <w:rPr>
          <w:rFonts w:ascii="Calibri" w:eastAsia="Calibri" w:hAnsi="Calibri" w:cs="Calibri"/>
          <w:sz w:val="24"/>
          <w:szCs w:val="20"/>
          <w:lang w:val="en-GB"/>
        </w:rPr>
        <w:t xml:space="preserve">irectives, are by definition not directly applicable, i.e. they do not apply automatically. In order to produce their effects within the </w:t>
      </w:r>
      <w:r w:rsidR="00833D61" w:rsidRPr="00CD60B5">
        <w:rPr>
          <w:rFonts w:ascii="Calibri" w:eastAsia="Calibri" w:hAnsi="Calibri" w:cs="Calibri"/>
          <w:sz w:val="24"/>
          <w:szCs w:val="20"/>
          <w:lang w:val="en-GB"/>
        </w:rPr>
        <w:t>Member S</w:t>
      </w:r>
      <w:r w:rsidRPr="00CD60B5">
        <w:rPr>
          <w:rFonts w:ascii="Calibri" w:eastAsia="Calibri" w:hAnsi="Calibri" w:cs="Calibri"/>
          <w:sz w:val="24"/>
          <w:szCs w:val="20"/>
          <w:lang w:val="en-GB"/>
        </w:rPr>
        <w:t xml:space="preserve">tates, they need to be implemented or “transposed” into national law. The </w:t>
      </w:r>
      <w:r w:rsidR="00833D61" w:rsidRPr="00CD60B5">
        <w:rPr>
          <w:rFonts w:ascii="Calibri" w:eastAsia="Calibri" w:hAnsi="Calibri" w:cs="Calibri"/>
          <w:sz w:val="24"/>
          <w:szCs w:val="20"/>
          <w:lang w:val="en-GB"/>
        </w:rPr>
        <w:t>M</w:t>
      </w:r>
      <w:r w:rsidRPr="00CD60B5">
        <w:rPr>
          <w:rFonts w:ascii="Calibri" w:eastAsia="Calibri" w:hAnsi="Calibri" w:cs="Calibri"/>
          <w:sz w:val="24"/>
          <w:szCs w:val="20"/>
          <w:lang w:val="en-GB"/>
        </w:rPr>
        <w:t xml:space="preserve">ember </w:t>
      </w:r>
      <w:r w:rsidR="00833D61" w:rsidRPr="00CD60B5">
        <w:rPr>
          <w:rFonts w:ascii="Calibri" w:eastAsia="Calibri" w:hAnsi="Calibri" w:cs="Calibri"/>
          <w:sz w:val="24"/>
          <w:szCs w:val="20"/>
          <w:lang w:val="en-GB"/>
        </w:rPr>
        <w:t>S</w:t>
      </w:r>
      <w:r w:rsidRPr="00CD60B5">
        <w:rPr>
          <w:rFonts w:ascii="Calibri" w:eastAsia="Calibri" w:hAnsi="Calibri" w:cs="Calibri"/>
          <w:sz w:val="24"/>
          <w:szCs w:val="20"/>
          <w:lang w:val="en-GB"/>
        </w:rPr>
        <w:t>tates are, therefore, required to take the measures necessary to give full effect to the provisions of the Directives in national law and to ensure that no other national provisions undermine their applicability. This normally takes the form of a transposition of the Directives into national law and the abrogation of all contrary legislative provisions.</w:t>
      </w:r>
    </w:p>
    <w:p w:rsidR="00395B69" w:rsidRPr="00CD60B5" w:rsidRDefault="00846E3A"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lastRenderedPageBreak/>
        <w:t xml:space="preserve">According to Article 288 of TFEU a directive “shall be binding, as to the result to be achieved, upon each Member State to which it is addressed, but shall leave to the national authorities the choice of form and methods”. </w:t>
      </w:r>
      <w:r w:rsidR="00D821C2" w:rsidRPr="00CD60B5">
        <w:rPr>
          <w:rFonts w:ascii="Calibri" w:eastAsia="Calibri" w:hAnsi="Calibri" w:cs="Calibri"/>
          <w:sz w:val="24"/>
          <w:szCs w:val="20"/>
          <w:lang w:val="en-GB"/>
        </w:rPr>
        <w:t xml:space="preserve">Thus, it is not necessary for EU Member States to produce an exact copy of the Directives in their national legislation, although some Member States have done precisely that, by reference to the Directives themselves. </w:t>
      </w:r>
      <w:r w:rsidRPr="00CD60B5">
        <w:rPr>
          <w:rFonts w:ascii="Calibri" w:eastAsia="Calibri" w:hAnsi="Calibri" w:cs="Calibri"/>
          <w:sz w:val="24"/>
          <w:szCs w:val="20"/>
          <w:lang w:val="en-GB"/>
        </w:rPr>
        <w:t>In other words, it is up to a Member State to decide on a form of legal acts used in order to transpose a directive provided its purposes are achieved. Similarly, specific methods and tools of transposition are left to t</w:t>
      </w:r>
      <w:r w:rsidR="00D821C2" w:rsidRPr="00CD60B5">
        <w:rPr>
          <w:rFonts w:ascii="Calibri" w:eastAsia="Calibri" w:hAnsi="Calibri" w:cs="Calibri"/>
          <w:sz w:val="24"/>
          <w:szCs w:val="20"/>
          <w:lang w:val="en-GB"/>
        </w:rPr>
        <w:t xml:space="preserve">he discretion of Member States, </w:t>
      </w:r>
      <w:r w:rsidRPr="00CD60B5">
        <w:rPr>
          <w:rFonts w:ascii="Calibri" w:eastAsia="Calibri" w:hAnsi="Calibri" w:cs="Calibri"/>
          <w:sz w:val="24"/>
          <w:szCs w:val="20"/>
          <w:lang w:val="en-GB"/>
        </w:rPr>
        <w:t>for example, transposition of all procurement relevant directive</w:t>
      </w:r>
      <w:r w:rsidR="00D821C2" w:rsidRPr="00CD60B5">
        <w:rPr>
          <w:rFonts w:ascii="Calibri" w:eastAsia="Calibri" w:hAnsi="Calibri" w:cs="Calibri"/>
          <w:sz w:val="24"/>
          <w:szCs w:val="20"/>
          <w:lang w:val="en-GB"/>
        </w:rPr>
        <w:t>s</w:t>
      </w:r>
      <w:r w:rsidRPr="00CD60B5">
        <w:rPr>
          <w:rFonts w:ascii="Calibri" w:eastAsia="Calibri" w:hAnsi="Calibri" w:cs="Calibri"/>
          <w:sz w:val="24"/>
          <w:szCs w:val="20"/>
          <w:lang w:val="en-GB"/>
        </w:rPr>
        <w:t xml:space="preserve"> in one single act or adoption of separate legal instruments for some or all of them. Member States may also opt for using their own specific legal concepts or terminology suiting them best in the light of their legal and administrative traditions. However, one should bear in mind that the new procurement directives regulate procurement processes in very prescriptive, detailed way. Thus, EU Member States will most likely opt for repeating those provisions </w:t>
      </w:r>
      <w:r w:rsidRPr="008225BF">
        <w:rPr>
          <w:rFonts w:ascii="Calibri" w:eastAsia="Calibri" w:hAnsi="Calibri" w:cs="Calibri"/>
          <w:i/>
          <w:sz w:val="24"/>
          <w:szCs w:val="20"/>
          <w:lang w:val="en-GB"/>
        </w:rPr>
        <w:t>verbatim</w:t>
      </w:r>
      <w:r w:rsidRPr="00CD60B5">
        <w:rPr>
          <w:rFonts w:ascii="Calibri" w:eastAsia="Calibri" w:hAnsi="Calibri" w:cs="Calibri"/>
          <w:sz w:val="24"/>
          <w:szCs w:val="20"/>
          <w:lang w:val="en-GB"/>
        </w:rPr>
        <w:t xml:space="preserve"> in their n</w:t>
      </w:r>
      <w:r w:rsidR="008225BF">
        <w:rPr>
          <w:rFonts w:ascii="Calibri" w:eastAsia="Calibri" w:hAnsi="Calibri" w:cs="Calibri"/>
          <w:sz w:val="24"/>
          <w:szCs w:val="20"/>
          <w:lang w:val="en-GB"/>
        </w:rPr>
        <w:t xml:space="preserve">ational provisions, minimising </w:t>
      </w:r>
      <w:r w:rsidRPr="00CD60B5">
        <w:rPr>
          <w:rFonts w:ascii="Calibri" w:eastAsia="Calibri" w:hAnsi="Calibri" w:cs="Calibri"/>
          <w:sz w:val="24"/>
          <w:szCs w:val="20"/>
          <w:lang w:val="en-GB"/>
        </w:rPr>
        <w:t>or even better, eliminating the risk of improper transposition.</w:t>
      </w:r>
    </w:p>
    <w:p w:rsidR="00623BE0" w:rsidRDefault="008225BF" w:rsidP="00DB318D">
      <w:pPr>
        <w:keepNext w:val="0"/>
        <w:keepLines w:val="0"/>
        <w:spacing w:after="120" w:line="240" w:lineRule="auto"/>
        <w:jc w:val="both"/>
        <w:rPr>
          <w:rFonts w:ascii="Calibri" w:eastAsia="Calibri" w:hAnsi="Calibri" w:cs="Calibri"/>
          <w:sz w:val="24"/>
          <w:szCs w:val="20"/>
          <w:lang w:val="en-GB"/>
        </w:rPr>
      </w:pPr>
      <w:r w:rsidRPr="00C81251">
        <w:rPr>
          <w:rFonts w:ascii="Calibri" w:eastAsia="Calibri" w:hAnsi="Calibri" w:cs="Calibri"/>
          <w:sz w:val="24"/>
          <w:szCs w:val="20"/>
          <w:lang w:val="en-GB"/>
        </w:rPr>
        <w:t>In addition to directives, in the area of public procurement a number of r</w:t>
      </w:r>
      <w:r w:rsidR="00C40D19" w:rsidRPr="00C81251">
        <w:rPr>
          <w:rFonts w:ascii="Calibri" w:eastAsia="Calibri" w:hAnsi="Calibri" w:cs="Calibri"/>
          <w:sz w:val="24"/>
          <w:szCs w:val="20"/>
          <w:lang w:val="en-GB"/>
        </w:rPr>
        <w:t xml:space="preserve">egulations </w:t>
      </w:r>
      <w:r w:rsidR="0083131B">
        <w:rPr>
          <w:rFonts w:ascii="Calibri" w:eastAsia="Calibri" w:hAnsi="Calibri" w:cs="Calibri"/>
          <w:sz w:val="24"/>
          <w:szCs w:val="20"/>
          <w:lang w:val="en-GB"/>
        </w:rPr>
        <w:t>is</w:t>
      </w:r>
      <w:r w:rsidRPr="00C81251">
        <w:rPr>
          <w:rFonts w:ascii="Calibri" w:eastAsia="Calibri" w:hAnsi="Calibri" w:cs="Calibri"/>
          <w:sz w:val="24"/>
          <w:szCs w:val="20"/>
          <w:lang w:val="en-GB"/>
        </w:rPr>
        <w:t xml:space="preserve"> adopted. According to Article 288 of TFEU a regulation “shall have general application. It shall be binding in its entirety and directly applicable in all Member States</w:t>
      </w:r>
      <w:r w:rsidR="00CD5E31" w:rsidRPr="00C81251">
        <w:rPr>
          <w:rFonts w:ascii="Calibri" w:eastAsia="Calibri" w:hAnsi="Calibri" w:cs="Calibri"/>
          <w:sz w:val="24"/>
          <w:szCs w:val="20"/>
          <w:lang w:val="en-GB"/>
        </w:rPr>
        <w:t>”</w:t>
      </w:r>
      <w:r w:rsidRPr="00C81251">
        <w:rPr>
          <w:rFonts w:ascii="Calibri" w:eastAsia="Calibri" w:hAnsi="Calibri" w:cs="Calibri"/>
          <w:sz w:val="24"/>
          <w:szCs w:val="20"/>
          <w:lang w:val="en-GB"/>
        </w:rPr>
        <w:t>.</w:t>
      </w:r>
      <w:r w:rsidR="00623BE0">
        <w:rPr>
          <w:rFonts w:ascii="Calibri" w:eastAsia="Calibri" w:hAnsi="Calibri" w:cs="Calibri"/>
          <w:sz w:val="24"/>
          <w:szCs w:val="20"/>
          <w:lang w:val="en-GB"/>
        </w:rPr>
        <w:t xml:space="preserve"> </w:t>
      </w:r>
    </w:p>
    <w:p w:rsidR="00C40D19" w:rsidRPr="00CD60B5" w:rsidRDefault="00623BE0"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t>O</w:t>
      </w:r>
      <w:r w:rsidR="0083131B">
        <w:rPr>
          <w:rFonts w:ascii="Calibri" w:eastAsia="Calibri" w:hAnsi="Calibri" w:cs="Calibri"/>
          <w:sz w:val="24"/>
          <w:szCs w:val="20"/>
          <w:lang w:val="en-GB"/>
        </w:rPr>
        <w:t>nce Serbia becomes a EU Member State the regulations</w:t>
      </w:r>
      <w:r w:rsidR="00CD5E31" w:rsidRPr="00C81251">
        <w:rPr>
          <w:rFonts w:ascii="Calibri" w:eastAsia="Calibri" w:hAnsi="Calibri" w:cs="Calibri"/>
          <w:sz w:val="24"/>
          <w:szCs w:val="20"/>
          <w:lang w:val="en-GB"/>
        </w:rPr>
        <w:t xml:space="preserve"> will be directly applicable.</w:t>
      </w:r>
      <w:r w:rsidR="0083131B">
        <w:rPr>
          <w:rFonts w:ascii="Calibri" w:eastAsia="Calibri" w:hAnsi="Calibri" w:cs="Calibri"/>
          <w:sz w:val="24"/>
          <w:szCs w:val="20"/>
          <w:lang w:val="en-GB"/>
        </w:rPr>
        <w:t xml:space="preserve"> P</w:t>
      </w:r>
      <w:r w:rsidR="00EE2FA5" w:rsidRPr="00C81251">
        <w:rPr>
          <w:rFonts w:ascii="Calibri" w:eastAsia="Calibri" w:hAnsi="Calibri" w:cs="Calibri"/>
          <w:sz w:val="24"/>
          <w:szCs w:val="20"/>
          <w:lang w:val="en-GB"/>
        </w:rPr>
        <w:t>ractice</w:t>
      </w:r>
      <w:r>
        <w:rPr>
          <w:rFonts w:ascii="Calibri" w:eastAsia="Calibri" w:hAnsi="Calibri" w:cs="Calibri"/>
          <w:sz w:val="24"/>
          <w:szCs w:val="20"/>
          <w:lang w:val="en-GB"/>
        </w:rPr>
        <w:t>, however,</w:t>
      </w:r>
      <w:r w:rsidR="00EE2FA5" w:rsidRPr="00C81251">
        <w:rPr>
          <w:rFonts w:ascii="Calibri" w:eastAsia="Calibri" w:hAnsi="Calibri" w:cs="Calibri"/>
          <w:sz w:val="24"/>
          <w:szCs w:val="20"/>
          <w:lang w:val="en-GB"/>
        </w:rPr>
        <w:t xml:space="preserve"> shows that</w:t>
      </w:r>
      <w:r w:rsidR="006827EA" w:rsidRPr="00C81251">
        <w:rPr>
          <w:rFonts w:ascii="Calibri" w:eastAsia="Calibri" w:hAnsi="Calibri" w:cs="Calibri"/>
          <w:sz w:val="24"/>
          <w:szCs w:val="20"/>
          <w:lang w:val="en-GB"/>
        </w:rPr>
        <w:t xml:space="preserve"> candidate countries </w:t>
      </w:r>
      <w:r w:rsidR="00DB4865" w:rsidRPr="00C81251">
        <w:rPr>
          <w:rFonts w:ascii="Calibri" w:eastAsia="Calibri" w:hAnsi="Calibri" w:cs="Calibri"/>
          <w:sz w:val="24"/>
          <w:szCs w:val="20"/>
          <w:lang w:val="en-GB"/>
        </w:rPr>
        <w:t xml:space="preserve">in pre accession period </w:t>
      </w:r>
      <w:r w:rsidR="00C32B60" w:rsidRPr="00C81251">
        <w:rPr>
          <w:rFonts w:ascii="Calibri" w:eastAsia="Calibri" w:hAnsi="Calibri" w:cs="Calibri"/>
          <w:sz w:val="24"/>
          <w:szCs w:val="20"/>
          <w:lang w:val="en-GB"/>
        </w:rPr>
        <w:t xml:space="preserve">often adopt national legislation </w:t>
      </w:r>
      <w:r w:rsidR="00DB4865" w:rsidRPr="00C81251">
        <w:rPr>
          <w:rFonts w:ascii="Calibri" w:eastAsia="Calibri" w:hAnsi="Calibri" w:cs="Calibri"/>
          <w:sz w:val="24"/>
          <w:szCs w:val="20"/>
          <w:lang w:val="en-GB"/>
        </w:rPr>
        <w:t xml:space="preserve">covering </w:t>
      </w:r>
      <w:r w:rsidR="00AD1F79" w:rsidRPr="00C81251">
        <w:rPr>
          <w:rFonts w:ascii="Calibri" w:eastAsia="Calibri" w:hAnsi="Calibri" w:cs="Calibri"/>
          <w:sz w:val="24"/>
          <w:szCs w:val="20"/>
          <w:lang w:val="en-GB"/>
        </w:rPr>
        <w:t xml:space="preserve">provisions </w:t>
      </w:r>
      <w:r w:rsidR="001C03C0" w:rsidRPr="00C81251">
        <w:rPr>
          <w:rFonts w:ascii="Calibri" w:eastAsia="Calibri" w:hAnsi="Calibri" w:cs="Calibri"/>
          <w:sz w:val="24"/>
          <w:szCs w:val="20"/>
          <w:lang w:val="en-GB"/>
        </w:rPr>
        <w:t xml:space="preserve">(fully or partially) </w:t>
      </w:r>
      <w:r w:rsidR="0083131B">
        <w:rPr>
          <w:rFonts w:ascii="Calibri" w:eastAsia="Calibri" w:hAnsi="Calibri" w:cs="Calibri"/>
          <w:sz w:val="24"/>
          <w:szCs w:val="20"/>
          <w:lang w:val="en-GB"/>
        </w:rPr>
        <w:t>of EU</w:t>
      </w:r>
      <w:r w:rsidR="00DB4865" w:rsidRPr="00C81251">
        <w:rPr>
          <w:rFonts w:ascii="Calibri" w:eastAsia="Calibri" w:hAnsi="Calibri" w:cs="Calibri"/>
          <w:sz w:val="24"/>
          <w:szCs w:val="20"/>
          <w:lang w:val="en-GB"/>
        </w:rPr>
        <w:t xml:space="preserve"> regulations in order to establish </w:t>
      </w:r>
      <w:r w:rsidR="00763A88" w:rsidRPr="00C81251">
        <w:rPr>
          <w:rFonts w:ascii="Calibri" w:eastAsia="Calibri" w:hAnsi="Calibri" w:cs="Calibri"/>
          <w:sz w:val="24"/>
          <w:szCs w:val="20"/>
          <w:lang w:val="en-GB"/>
        </w:rPr>
        <w:t>national practices</w:t>
      </w:r>
      <w:r w:rsidR="00DB4865" w:rsidRPr="00C81251">
        <w:rPr>
          <w:rFonts w:ascii="Calibri" w:eastAsia="Calibri" w:hAnsi="Calibri" w:cs="Calibri"/>
          <w:sz w:val="24"/>
          <w:szCs w:val="20"/>
          <w:lang w:val="en-GB"/>
        </w:rPr>
        <w:t xml:space="preserve"> </w:t>
      </w:r>
      <w:r w:rsidR="001C03C0" w:rsidRPr="00C81251">
        <w:rPr>
          <w:rFonts w:ascii="Calibri" w:eastAsia="Calibri" w:hAnsi="Calibri" w:cs="Calibri"/>
          <w:sz w:val="24"/>
          <w:szCs w:val="20"/>
          <w:lang w:val="en-GB"/>
        </w:rPr>
        <w:t>that would enable</w:t>
      </w:r>
      <w:r w:rsidR="00AD1F79" w:rsidRPr="00C81251">
        <w:rPr>
          <w:rFonts w:ascii="Calibri" w:eastAsia="Calibri" w:hAnsi="Calibri" w:cs="Calibri"/>
          <w:sz w:val="24"/>
          <w:szCs w:val="20"/>
          <w:lang w:val="en-GB"/>
        </w:rPr>
        <w:t xml:space="preserve"> s</w:t>
      </w:r>
      <w:r w:rsidR="0083131B">
        <w:rPr>
          <w:rFonts w:ascii="Calibri" w:eastAsia="Calibri" w:hAnsi="Calibri" w:cs="Calibri"/>
          <w:sz w:val="24"/>
          <w:szCs w:val="20"/>
          <w:lang w:val="en-GB"/>
        </w:rPr>
        <w:t>mooth functioning of the system</w:t>
      </w:r>
      <w:r w:rsidR="00AD1F79" w:rsidRPr="00C81251">
        <w:rPr>
          <w:rFonts w:ascii="Calibri" w:eastAsia="Calibri" w:hAnsi="Calibri" w:cs="Calibri"/>
          <w:sz w:val="24"/>
          <w:szCs w:val="20"/>
          <w:lang w:val="en-GB"/>
        </w:rPr>
        <w:t xml:space="preserve">. </w:t>
      </w:r>
      <w:r w:rsidR="00566CAF" w:rsidRPr="00C81251">
        <w:rPr>
          <w:rFonts w:ascii="Calibri" w:eastAsia="Calibri" w:hAnsi="Calibri" w:cs="Calibri"/>
          <w:sz w:val="24"/>
          <w:szCs w:val="20"/>
          <w:lang w:val="en-GB"/>
        </w:rPr>
        <w:t xml:space="preserve">Examples on such practice are often related to </w:t>
      </w:r>
      <w:r w:rsidR="0083131B">
        <w:rPr>
          <w:rFonts w:ascii="Calibri" w:eastAsia="Calibri" w:hAnsi="Calibri" w:cs="Calibri"/>
          <w:sz w:val="24"/>
          <w:szCs w:val="20"/>
          <w:lang w:val="en-GB"/>
        </w:rPr>
        <w:t xml:space="preserve">Common Procurement Vocabulary or </w:t>
      </w:r>
      <w:r w:rsidR="00566CAF" w:rsidRPr="00C81251">
        <w:rPr>
          <w:rFonts w:ascii="Calibri" w:eastAsia="Calibri" w:hAnsi="Calibri" w:cs="Calibri"/>
          <w:sz w:val="24"/>
          <w:szCs w:val="20"/>
          <w:lang w:val="en-GB"/>
        </w:rPr>
        <w:t xml:space="preserve">public procurement notices </w:t>
      </w:r>
      <w:r w:rsidR="004B38C4" w:rsidRPr="00C81251">
        <w:rPr>
          <w:rFonts w:ascii="Calibri" w:eastAsia="Calibri" w:hAnsi="Calibri" w:cs="Calibri"/>
          <w:sz w:val="24"/>
          <w:szCs w:val="20"/>
          <w:lang w:val="en-GB"/>
        </w:rPr>
        <w:t xml:space="preserve">based on EU </w:t>
      </w:r>
      <w:r w:rsidR="0025640E" w:rsidRPr="00C81251">
        <w:rPr>
          <w:rFonts w:ascii="Calibri" w:eastAsia="Calibri" w:hAnsi="Calibri" w:cs="Calibri"/>
          <w:sz w:val="24"/>
          <w:szCs w:val="20"/>
          <w:lang w:val="en-GB"/>
        </w:rPr>
        <w:t>standard form</w:t>
      </w:r>
      <w:r w:rsidR="0083131B">
        <w:rPr>
          <w:rFonts w:ascii="Calibri" w:eastAsia="Calibri" w:hAnsi="Calibri" w:cs="Calibri"/>
          <w:sz w:val="24"/>
          <w:szCs w:val="20"/>
          <w:lang w:val="en-GB"/>
        </w:rPr>
        <w:t>s</w:t>
      </w:r>
      <w:r w:rsidR="004B38C4" w:rsidRPr="00C81251">
        <w:rPr>
          <w:rFonts w:ascii="Calibri" w:eastAsia="Calibri" w:hAnsi="Calibri" w:cs="Calibri"/>
          <w:sz w:val="24"/>
          <w:szCs w:val="20"/>
          <w:lang w:val="en-GB"/>
        </w:rPr>
        <w:t xml:space="preserve"> </w:t>
      </w:r>
      <w:r w:rsidR="00C606CD" w:rsidRPr="00C81251">
        <w:rPr>
          <w:rFonts w:ascii="Calibri" w:eastAsia="Calibri" w:hAnsi="Calibri" w:cs="Calibri"/>
          <w:sz w:val="24"/>
          <w:szCs w:val="20"/>
          <w:lang w:val="en-GB"/>
        </w:rPr>
        <w:t>provided in the</w:t>
      </w:r>
      <w:r>
        <w:rPr>
          <w:rFonts w:ascii="Calibri" w:eastAsia="Calibri" w:hAnsi="Calibri" w:cs="Calibri"/>
          <w:sz w:val="24"/>
          <w:szCs w:val="20"/>
          <w:lang w:val="en-GB"/>
        </w:rPr>
        <w:t xml:space="preserve"> relevant</w:t>
      </w:r>
      <w:r w:rsidR="00C606CD" w:rsidRPr="00C81251">
        <w:rPr>
          <w:rFonts w:ascii="Calibri" w:eastAsia="Calibri" w:hAnsi="Calibri" w:cs="Calibri"/>
          <w:sz w:val="24"/>
          <w:szCs w:val="20"/>
          <w:lang w:val="en-GB"/>
        </w:rPr>
        <w:t xml:space="preserve"> </w:t>
      </w:r>
      <w:r w:rsidR="00986112" w:rsidRPr="00C81251">
        <w:rPr>
          <w:rFonts w:ascii="Calibri" w:eastAsia="Calibri" w:hAnsi="Calibri" w:cs="Calibri"/>
          <w:sz w:val="24"/>
          <w:szCs w:val="20"/>
          <w:lang w:val="en-GB"/>
        </w:rPr>
        <w:t xml:space="preserve">Commission </w:t>
      </w:r>
      <w:r>
        <w:rPr>
          <w:rFonts w:ascii="Calibri" w:eastAsia="Calibri" w:hAnsi="Calibri" w:cs="Calibri"/>
          <w:sz w:val="24"/>
          <w:szCs w:val="20"/>
          <w:lang w:val="en-GB"/>
        </w:rPr>
        <w:t>r</w:t>
      </w:r>
      <w:r w:rsidR="00986112" w:rsidRPr="00C81251">
        <w:rPr>
          <w:rFonts w:ascii="Calibri" w:eastAsia="Calibri" w:hAnsi="Calibri" w:cs="Calibri"/>
          <w:sz w:val="24"/>
          <w:szCs w:val="20"/>
          <w:lang w:val="en-GB"/>
        </w:rPr>
        <w:t>egulation</w:t>
      </w:r>
      <w:r>
        <w:rPr>
          <w:rFonts w:ascii="Calibri" w:eastAsia="Calibri" w:hAnsi="Calibri" w:cs="Calibri"/>
          <w:sz w:val="24"/>
          <w:szCs w:val="20"/>
          <w:lang w:val="en-GB"/>
        </w:rPr>
        <w:t>s</w:t>
      </w:r>
      <w:r w:rsidR="00C606CD" w:rsidRPr="00C81251">
        <w:rPr>
          <w:rFonts w:ascii="Calibri" w:eastAsia="Calibri" w:hAnsi="Calibri" w:cs="Calibri"/>
          <w:sz w:val="24"/>
          <w:szCs w:val="20"/>
          <w:lang w:val="en-GB"/>
        </w:rPr>
        <w:t>.</w:t>
      </w:r>
      <w:r w:rsidR="00566CAF" w:rsidRPr="00C81251">
        <w:rPr>
          <w:rFonts w:ascii="Calibri" w:eastAsia="Calibri" w:hAnsi="Calibri" w:cs="Calibri"/>
          <w:sz w:val="24"/>
          <w:szCs w:val="20"/>
          <w:lang w:val="en-GB"/>
        </w:rPr>
        <w:t xml:space="preserve"> </w:t>
      </w:r>
      <w:r w:rsidR="00C81251" w:rsidRPr="00C81251">
        <w:rPr>
          <w:rFonts w:ascii="Calibri" w:eastAsia="Calibri" w:hAnsi="Calibri" w:cs="Calibri"/>
          <w:sz w:val="24"/>
          <w:szCs w:val="20"/>
          <w:lang w:val="en-GB"/>
        </w:rPr>
        <w:t>However, such</w:t>
      </w:r>
      <w:r w:rsidR="00867EAC" w:rsidRPr="00C81251">
        <w:rPr>
          <w:rFonts w:ascii="Calibri" w:eastAsia="Calibri" w:hAnsi="Calibri" w:cs="Calibri"/>
          <w:sz w:val="24"/>
          <w:szCs w:val="20"/>
          <w:lang w:val="en-GB"/>
        </w:rPr>
        <w:t xml:space="preserve"> national provisions transposing </w:t>
      </w:r>
      <w:r w:rsidR="0049079D" w:rsidRPr="00C81251">
        <w:rPr>
          <w:rFonts w:ascii="Calibri" w:eastAsia="Calibri" w:hAnsi="Calibri" w:cs="Calibri"/>
          <w:sz w:val="24"/>
          <w:szCs w:val="20"/>
          <w:lang w:val="en-GB"/>
        </w:rPr>
        <w:t>EU regulations, due to their direct application,</w:t>
      </w:r>
      <w:r w:rsidR="0049079D">
        <w:rPr>
          <w:rFonts w:ascii="Calibri" w:eastAsia="Calibri" w:hAnsi="Calibri" w:cs="Calibri"/>
          <w:sz w:val="24"/>
          <w:szCs w:val="20"/>
          <w:lang w:val="en-GB"/>
        </w:rPr>
        <w:t xml:space="preserve"> should be put out of force as of date of accession</w:t>
      </w:r>
      <w:r w:rsidR="00C81251">
        <w:rPr>
          <w:rFonts w:ascii="Calibri" w:eastAsia="Calibri" w:hAnsi="Calibri" w:cs="Calibri"/>
          <w:sz w:val="24"/>
          <w:szCs w:val="20"/>
          <w:lang w:val="en-GB"/>
        </w:rPr>
        <w:t xml:space="preserve"> to the EU</w:t>
      </w:r>
      <w:r w:rsidR="0049079D">
        <w:rPr>
          <w:rFonts w:ascii="Calibri" w:eastAsia="Calibri" w:hAnsi="Calibri" w:cs="Calibri"/>
          <w:sz w:val="24"/>
          <w:szCs w:val="20"/>
          <w:lang w:val="en-GB"/>
        </w:rPr>
        <w:t>.</w:t>
      </w:r>
    </w:p>
    <w:p w:rsidR="00395B69" w:rsidRPr="00D154DD" w:rsidRDefault="003D2F1D" w:rsidP="00DB318D">
      <w:pPr>
        <w:pStyle w:val="Heading1"/>
        <w:keepNext w:val="0"/>
        <w:keepLines w:val="0"/>
        <w:rPr>
          <w:rFonts w:eastAsia="Calibri"/>
          <w:lang w:val="en-GB"/>
        </w:rPr>
      </w:pPr>
      <w:bookmarkStart w:id="3" w:name="_Toc419719671"/>
      <w:r>
        <w:rPr>
          <w:rFonts w:eastAsia="Calibri"/>
          <w:lang w:val="en-GB"/>
        </w:rPr>
        <w:t>3</w:t>
      </w:r>
      <w:r w:rsidR="00B522E7">
        <w:rPr>
          <w:rFonts w:eastAsia="Calibri"/>
          <w:lang w:val="en-GB"/>
        </w:rPr>
        <w:t xml:space="preserve">. </w:t>
      </w:r>
      <w:r w:rsidR="00865D45">
        <w:rPr>
          <w:rFonts w:eastAsia="Calibri"/>
          <w:lang w:val="en-GB"/>
        </w:rPr>
        <w:t>Analysis</w:t>
      </w:r>
      <w:bookmarkEnd w:id="3"/>
    </w:p>
    <w:p w:rsidR="00395B69" w:rsidRPr="00CD60B5" w:rsidRDefault="00C40D19"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The starting point for this analysis is the assumption that the Public Sector Directive will continue to be transposed in the Serbian legal order by means of law</w:t>
      </w:r>
      <w:r w:rsidR="00B723D6" w:rsidRPr="00CD60B5">
        <w:rPr>
          <w:rFonts w:ascii="Calibri" w:eastAsia="Calibri" w:hAnsi="Calibri" w:cs="Calibri"/>
          <w:sz w:val="24"/>
          <w:szCs w:val="20"/>
          <w:lang w:val="en-GB"/>
        </w:rPr>
        <w:t xml:space="preserve"> as it is now</w:t>
      </w:r>
      <w:r w:rsidRPr="00CD60B5">
        <w:rPr>
          <w:rFonts w:ascii="Calibri" w:eastAsia="Calibri" w:hAnsi="Calibri" w:cs="Calibri"/>
          <w:sz w:val="24"/>
          <w:szCs w:val="20"/>
          <w:lang w:val="en-GB"/>
        </w:rPr>
        <w:t>. It does not mean that all the provisions</w:t>
      </w:r>
      <w:r w:rsidR="000D1BE3" w:rsidRPr="00CD60B5">
        <w:rPr>
          <w:rFonts w:ascii="Calibri" w:eastAsia="Calibri" w:hAnsi="Calibri" w:cs="Calibri"/>
          <w:sz w:val="24"/>
          <w:szCs w:val="20"/>
          <w:lang w:val="en-GB"/>
        </w:rPr>
        <w:t xml:space="preserve"> of the Directive</w:t>
      </w:r>
      <w:r w:rsidRPr="00CD60B5">
        <w:rPr>
          <w:rFonts w:ascii="Calibri" w:eastAsia="Calibri" w:hAnsi="Calibri" w:cs="Calibri"/>
          <w:sz w:val="24"/>
          <w:szCs w:val="20"/>
          <w:lang w:val="en-GB"/>
        </w:rPr>
        <w:t xml:space="preserve"> need to be </w:t>
      </w:r>
      <w:r w:rsidR="000D1BE3" w:rsidRPr="00CD60B5">
        <w:rPr>
          <w:rFonts w:ascii="Calibri" w:eastAsia="Calibri" w:hAnsi="Calibri" w:cs="Calibri"/>
          <w:sz w:val="24"/>
          <w:szCs w:val="20"/>
          <w:lang w:val="en-GB"/>
        </w:rPr>
        <w:t xml:space="preserve">placed </w:t>
      </w:r>
      <w:r w:rsidRPr="00CD60B5">
        <w:rPr>
          <w:rFonts w:ascii="Calibri" w:eastAsia="Calibri" w:hAnsi="Calibri" w:cs="Calibri"/>
          <w:sz w:val="24"/>
          <w:szCs w:val="20"/>
          <w:lang w:val="en-GB"/>
        </w:rPr>
        <w:t>in the law itself. Serbian authorities can transpose certain provisions in secondary legislation such as government regulation</w:t>
      </w:r>
      <w:r w:rsidR="000D1BE3" w:rsidRPr="00CD60B5">
        <w:rPr>
          <w:rFonts w:ascii="Calibri" w:eastAsia="Calibri" w:hAnsi="Calibri" w:cs="Calibri"/>
          <w:sz w:val="24"/>
          <w:szCs w:val="20"/>
          <w:lang w:val="en-GB"/>
        </w:rPr>
        <w:t>s</w:t>
      </w:r>
      <w:r w:rsidRPr="00CD60B5">
        <w:rPr>
          <w:rFonts w:ascii="Calibri" w:eastAsia="Calibri" w:hAnsi="Calibri" w:cs="Calibri"/>
          <w:sz w:val="24"/>
          <w:szCs w:val="20"/>
          <w:lang w:val="en-GB"/>
        </w:rPr>
        <w:t xml:space="preserve"> or ordinance</w:t>
      </w:r>
      <w:r w:rsidR="000D1BE3" w:rsidRPr="00CD60B5">
        <w:rPr>
          <w:rFonts w:ascii="Calibri" w:eastAsia="Calibri" w:hAnsi="Calibri" w:cs="Calibri"/>
          <w:sz w:val="24"/>
          <w:szCs w:val="20"/>
          <w:lang w:val="en-GB"/>
        </w:rPr>
        <w:t>s</w:t>
      </w:r>
      <w:r w:rsidRPr="00CD60B5">
        <w:rPr>
          <w:rFonts w:ascii="Calibri" w:eastAsia="Calibri" w:hAnsi="Calibri" w:cs="Calibri"/>
          <w:sz w:val="24"/>
          <w:szCs w:val="20"/>
          <w:lang w:val="en-GB"/>
        </w:rPr>
        <w:t xml:space="preserve">. This is particularly useful for </w:t>
      </w:r>
      <w:r w:rsidR="00D154DD">
        <w:rPr>
          <w:rFonts w:ascii="Calibri" w:eastAsia="Calibri" w:hAnsi="Calibri" w:cs="Calibri"/>
          <w:sz w:val="24"/>
          <w:szCs w:val="20"/>
          <w:lang w:val="en-GB"/>
        </w:rPr>
        <w:t xml:space="preserve">procedural </w:t>
      </w:r>
      <w:r w:rsidRPr="00CD60B5">
        <w:rPr>
          <w:rFonts w:ascii="Calibri" w:eastAsia="Calibri" w:hAnsi="Calibri" w:cs="Calibri"/>
          <w:sz w:val="24"/>
          <w:szCs w:val="20"/>
          <w:lang w:val="en-GB"/>
        </w:rPr>
        <w:t xml:space="preserve">issues which necessitate more detailed </w:t>
      </w:r>
      <w:r w:rsidR="00D154DD">
        <w:rPr>
          <w:rFonts w:ascii="Calibri" w:eastAsia="Calibri" w:hAnsi="Calibri" w:cs="Calibri"/>
          <w:sz w:val="24"/>
          <w:szCs w:val="20"/>
          <w:lang w:val="en-GB"/>
        </w:rPr>
        <w:t>description</w:t>
      </w:r>
      <w:r w:rsidR="000D1BE3" w:rsidRPr="00CD60B5">
        <w:rPr>
          <w:rFonts w:ascii="Calibri" w:eastAsia="Calibri" w:hAnsi="Calibri" w:cs="Calibri"/>
          <w:sz w:val="24"/>
          <w:szCs w:val="20"/>
          <w:lang w:val="en-GB"/>
        </w:rPr>
        <w:t>, for example</w:t>
      </w:r>
      <w:r w:rsidRPr="00CD60B5">
        <w:rPr>
          <w:rFonts w:ascii="Calibri" w:eastAsia="Calibri" w:hAnsi="Calibri" w:cs="Calibri"/>
          <w:sz w:val="24"/>
          <w:szCs w:val="20"/>
          <w:lang w:val="en-GB"/>
        </w:rPr>
        <w:t xml:space="preserve"> methods for calculating the estimated value of procurement, </w:t>
      </w:r>
      <w:r w:rsidR="000D1BE3" w:rsidRPr="00CD60B5">
        <w:rPr>
          <w:rFonts w:ascii="Calibri" w:eastAsia="Calibri" w:hAnsi="Calibri" w:cs="Calibri"/>
          <w:sz w:val="24"/>
          <w:szCs w:val="20"/>
          <w:lang w:val="en-GB"/>
        </w:rPr>
        <w:t xml:space="preserve">content of notices, </w:t>
      </w:r>
      <w:r w:rsidRPr="00CD60B5">
        <w:rPr>
          <w:rFonts w:ascii="Calibri" w:eastAsia="Calibri" w:hAnsi="Calibri" w:cs="Calibri"/>
          <w:sz w:val="24"/>
          <w:szCs w:val="20"/>
          <w:lang w:val="en-GB"/>
        </w:rPr>
        <w:t>form and manner of publication of notices</w:t>
      </w:r>
      <w:r w:rsidR="000D1BE3" w:rsidRPr="00CD60B5">
        <w:rPr>
          <w:rFonts w:ascii="Calibri" w:eastAsia="Calibri" w:hAnsi="Calibri" w:cs="Calibri"/>
          <w:sz w:val="24"/>
          <w:szCs w:val="20"/>
          <w:lang w:val="en-GB"/>
        </w:rPr>
        <w:t>, content of invitations and individual reports on procedures for the award of contracts, national reporting and statistical information etc.</w:t>
      </w:r>
    </w:p>
    <w:p w:rsidR="003721CB" w:rsidRPr="00CD60B5" w:rsidRDefault="003721CB"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Therefore, the </w:t>
      </w:r>
      <w:r w:rsidR="00B723D6" w:rsidRPr="00CD60B5">
        <w:rPr>
          <w:rFonts w:ascii="Calibri" w:eastAsia="Calibri" w:hAnsi="Calibri" w:cs="Calibri"/>
          <w:sz w:val="24"/>
          <w:szCs w:val="20"/>
          <w:lang w:val="en-GB"/>
        </w:rPr>
        <w:t>issues</w:t>
      </w:r>
      <w:r w:rsidRPr="00CD60B5">
        <w:rPr>
          <w:rFonts w:ascii="Calibri" w:eastAsia="Calibri" w:hAnsi="Calibri" w:cs="Calibri"/>
          <w:sz w:val="24"/>
          <w:szCs w:val="20"/>
          <w:lang w:val="en-GB"/>
        </w:rPr>
        <w:t xml:space="preserve"> </w:t>
      </w:r>
      <w:r w:rsidR="00212BC2" w:rsidRPr="00CD60B5">
        <w:rPr>
          <w:rFonts w:ascii="Calibri" w:eastAsia="Calibri" w:hAnsi="Calibri" w:cs="Calibri"/>
          <w:sz w:val="24"/>
          <w:szCs w:val="20"/>
          <w:lang w:val="en-GB"/>
        </w:rPr>
        <w:t>that</w:t>
      </w:r>
      <w:r w:rsidR="00B723D6" w:rsidRPr="00CD60B5">
        <w:rPr>
          <w:rFonts w:ascii="Calibri" w:eastAsia="Calibri" w:hAnsi="Calibri" w:cs="Calibri"/>
          <w:sz w:val="24"/>
          <w:szCs w:val="20"/>
          <w:lang w:val="en-GB"/>
        </w:rPr>
        <w:t xml:space="preserve"> </w:t>
      </w:r>
      <w:r w:rsidR="00D154DD">
        <w:rPr>
          <w:rFonts w:ascii="Calibri" w:eastAsia="Calibri" w:hAnsi="Calibri" w:cs="Calibri"/>
          <w:sz w:val="24"/>
          <w:szCs w:val="20"/>
          <w:lang w:val="en-GB"/>
        </w:rPr>
        <w:t>are</w:t>
      </w:r>
      <w:r w:rsidR="00B723D6" w:rsidRPr="00CD60B5">
        <w:rPr>
          <w:rFonts w:ascii="Calibri" w:eastAsia="Calibri" w:hAnsi="Calibri" w:cs="Calibri"/>
          <w:sz w:val="24"/>
          <w:szCs w:val="20"/>
          <w:lang w:val="en-GB"/>
        </w:rPr>
        <w:t xml:space="preserve"> analysed</w:t>
      </w:r>
      <w:r w:rsidR="00212BC2" w:rsidRPr="00CD60B5">
        <w:rPr>
          <w:rFonts w:ascii="Calibri" w:eastAsia="Calibri" w:hAnsi="Calibri" w:cs="Calibri"/>
          <w:sz w:val="24"/>
          <w:szCs w:val="20"/>
          <w:lang w:val="en-GB"/>
        </w:rPr>
        <w:t xml:space="preserve"> </w:t>
      </w:r>
      <w:r w:rsidRPr="00CD60B5">
        <w:rPr>
          <w:rFonts w:ascii="Calibri" w:eastAsia="Calibri" w:hAnsi="Calibri" w:cs="Calibri"/>
          <w:sz w:val="24"/>
          <w:szCs w:val="20"/>
          <w:lang w:val="en-GB"/>
        </w:rPr>
        <w:t xml:space="preserve">are related to the </w:t>
      </w:r>
      <w:r w:rsidR="00307BB4" w:rsidRPr="00CD60B5">
        <w:rPr>
          <w:rFonts w:ascii="Calibri" w:eastAsia="Calibri" w:hAnsi="Calibri" w:cs="Calibri"/>
          <w:sz w:val="24"/>
          <w:szCs w:val="20"/>
          <w:lang w:val="en-GB"/>
        </w:rPr>
        <w:t>form</w:t>
      </w:r>
      <w:r w:rsidRPr="00CD60B5">
        <w:rPr>
          <w:rFonts w:ascii="Calibri" w:eastAsia="Calibri" w:hAnsi="Calibri" w:cs="Calibri"/>
          <w:sz w:val="24"/>
          <w:szCs w:val="20"/>
          <w:lang w:val="en-GB"/>
        </w:rPr>
        <w:t xml:space="preserve"> of regulating the Utilit</w:t>
      </w:r>
      <w:r w:rsidR="00212BC2" w:rsidRPr="00CD60B5">
        <w:rPr>
          <w:rFonts w:ascii="Calibri" w:eastAsia="Calibri" w:hAnsi="Calibri" w:cs="Calibri"/>
          <w:sz w:val="24"/>
          <w:szCs w:val="20"/>
          <w:lang w:val="en-GB"/>
        </w:rPr>
        <w:t>ies</w:t>
      </w:r>
      <w:r w:rsidRPr="00CD60B5">
        <w:rPr>
          <w:rFonts w:ascii="Calibri" w:eastAsia="Calibri" w:hAnsi="Calibri" w:cs="Calibri"/>
          <w:sz w:val="24"/>
          <w:szCs w:val="20"/>
          <w:lang w:val="en-GB"/>
        </w:rPr>
        <w:t xml:space="preserve"> Directive, Defence Directive and Remedies Directives.</w:t>
      </w:r>
    </w:p>
    <w:p w:rsidR="00307BB4" w:rsidRPr="00D154DD" w:rsidRDefault="003D2F1D" w:rsidP="00DB318D">
      <w:pPr>
        <w:pStyle w:val="Heading2"/>
        <w:keepNext w:val="0"/>
        <w:keepLines w:val="0"/>
        <w:rPr>
          <w:rFonts w:eastAsia="Calibri"/>
          <w:lang w:val="en-GB"/>
        </w:rPr>
      </w:pPr>
      <w:bookmarkStart w:id="4" w:name="_Toc419719672"/>
      <w:r>
        <w:rPr>
          <w:rFonts w:eastAsia="Calibri"/>
          <w:lang w:val="en-GB"/>
        </w:rPr>
        <w:t>3</w:t>
      </w:r>
      <w:r w:rsidR="005C3C9C">
        <w:rPr>
          <w:rFonts w:eastAsia="Calibri"/>
          <w:lang w:val="en-GB"/>
        </w:rPr>
        <w:t xml:space="preserve">.1 </w:t>
      </w:r>
      <w:r w:rsidR="00307BB4" w:rsidRPr="00D154DD">
        <w:rPr>
          <w:rFonts w:eastAsia="Calibri"/>
          <w:lang w:val="en-GB"/>
        </w:rPr>
        <w:t>Utilities Directive</w:t>
      </w:r>
      <w:bookmarkEnd w:id="4"/>
      <w:r w:rsidR="00307BB4" w:rsidRPr="00D154DD">
        <w:rPr>
          <w:rFonts w:eastAsia="Calibri"/>
          <w:lang w:val="en-GB"/>
        </w:rPr>
        <w:t xml:space="preserve"> </w:t>
      </w:r>
    </w:p>
    <w:p w:rsidR="008C4050" w:rsidRPr="00CD60B5" w:rsidRDefault="008C4050"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The procurement directives were originally intended to cover public procurement, that is, contracts awarded by public authorities or other public bodies. As a result, the </w:t>
      </w:r>
      <w:r w:rsidR="00D154DD">
        <w:rPr>
          <w:rFonts w:ascii="Calibri" w:eastAsia="Calibri" w:hAnsi="Calibri" w:cs="Calibri"/>
          <w:sz w:val="24"/>
          <w:szCs w:val="20"/>
          <w:lang w:val="en-GB"/>
        </w:rPr>
        <w:t>new</w:t>
      </w:r>
      <w:r w:rsidRPr="00CD60B5">
        <w:rPr>
          <w:rFonts w:ascii="Calibri" w:eastAsia="Calibri" w:hAnsi="Calibri" w:cs="Calibri"/>
          <w:sz w:val="24"/>
          <w:szCs w:val="20"/>
          <w:lang w:val="en-GB"/>
        </w:rPr>
        <w:t xml:space="preserve"> Public Sector Directive (as well as all of the previous directives that applied to the public sector) excludes from its scope all public contracts that, under the Utilities Directive, are awarded by contracting authorities exercising one or more of the relevant activities in the utilities sector </w:t>
      </w:r>
      <w:r w:rsidRPr="00CD60B5">
        <w:rPr>
          <w:rFonts w:ascii="Calibri" w:eastAsia="Calibri" w:hAnsi="Calibri" w:cs="Calibri"/>
          <w:sz w:val="24"/>
          <w:szCs w:val="20"/>
          <w:lang w:val="en-GB"/>
        </w:rPr>
        <w:lastRenderedPageBreak/>
        <w:t>(water, energy, transport and postal services) and that are awarded for the pursuit of those activities</w:t>
      </w:r>
      <w:r w:rsidR="00D154DD">
        <w:rPr>
          <w:rStyle w:val="FootnoteReference"/>
          <w:rFonts w:ascii="Calibri" w:eastAsia="Calibri" w:hAnsi="Calibri" w:cs="Calibri"/>
          <w:sz w:val="24"/>
          <w:szCs w:val="20"/>
          <w:lang w:val="en-GB"/>
        </w:rPr>
        <w:footnoteReference w:id="1"/>
      </w:r>
      <w:r w:rsidRPr="00CD60B5">
        <w:rPr>
          <w:rFonts w:ascii="Calibri" w:eastAsia="Calibri" w:hAnsi="Calibri" w:cs="Calibri"/>
          <w:sz w:val="24"/>
          <w:szCs w:val="20"/>
          <w:lang w:val="en-GB"/>
        </w:rPr>
        <w:t>.</w:t>
      </w:r>
    </w:p>
    <w:p w:rsidR="008C4050" w:rsidRPr="00CD60B5" w:rsidRDefault="008C4050"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The rules</w:t>
      </w:r>
      <w:r w:rsidR="00466A2E" w:rsidRPr="00CD60B5">
        <w:rPr>
          <w:rFonts w:ascii="Calibri" w:eastAsia="Calibri" w:hAnsi="Calibri" w:cs="Calibri"/>
          <w:sz w:val="24"/>
          <w:szCs w:val="20"/>
          <w:lang w:val="en-GB"/>
        </w:rPr>
        <w:t xml:space="preserve"> on utilities</w:t>
      </w:r>
      <w:r w:rsidRPr="00CD60B5">
        <w:rPr>
          <w:rFonts w:ascii="Calibri" w:eastAsia="Calibri" w:hAnsi="Calibri" w:cs="Calibri"/>
          <w:sz w:val="24"/>
          <w:szCs w:val="20"/>
          <w:lang w:val="en-GB"/>
        </w:rPr>
        <w:t xml:space="preserve"> </w:t>
      </w:r>
      <w:r w:rsidR="00466A2E" w:rsidRPr="00CD60B5">
        <w:rPr>
          <w:rFonts w:ascii="Calibri" w:eastAsia="Calibri" w:hAnsi="Calibri" w:cs="Calibri"/>
          <w:sz w:val="24"/>
          <w:szCs w:val="20"/>
          <w:lang w:val="en-GB"/>
        </w:rPr>
        <w:t>are</w:t>
      </w:r>
      <w:r w:rsidRPr="00CD60B5">
        <w:rPr>
          <w:rFonts w:ascii="Calibri" w:eastAsia="Calibri" w:hAnsi="Calibri" w:cs="Calibri"/>
          <w:sz w:val="24"/>
          <w:szCs w:val="20"/>
          <w:lang w:val="en-GB"/>
        </w:rPr>
        <w:t xml:space="preserve"> adopted in a separate directive because the provisions for the utilities sector </w:t>
      </w:r>
      <w:r w:rsidR="00466A2E" w:rsidRPr="00CD60B5">
        <w:rPr>
          <w:rFonts w:ascii="Calibri" w:eastAsia="Calibri" w:hAnsi="Calibri" w:cs="Calibri"/>
          <w:sz w:val="24"/>
          <w:szCs w:val="20"/>
          <w:lang w:val="en-GB"/>
        </w:rPr>
        <w:t>are</w:t>
      </w:r>
      <w:r w:rsidRPr="00CD60B5">
        <w:rPr>
          <w:rFonts w:ascii="Calibri" w:eastAsia="Calibri" w:hAnsi="Calibri" w:cs="Calibri"/>
          <w:sz w:val="24"/>
          <w:szCs w:val="20"/>
          <w:lang w:val="en-GB"/>
        </w:rPr>
        <w:t xml:space="preserve"> more flexible than those in the public sector. It </w:t>
      </w:r>
      <w:r w:rsidR="00466A2E" w:rsidRPr="00CD60B5">
        <w:rPr>
          <w:rFonts w:ascii="Calibri" w:eastAsia="Calibri" w:hAnsi="Calibri" w:cs="Calibri"/>
          <w:sz w:val="24"/>
          <w:szCs w:val="20"/>
          <w:lang w:val="en-GB"/>
        </w:rPr>
        <w:t>is</w:t>
      </w:r>
      <w:r w:rsidRPr="00CD60B5">
        <w:rPr>
          <w:rFonts w:ascii="Calibri" w:eastAsia="Calibri" w:hAnsi="Calibri" w:cs="Calibri"/>
          <w:sz w:val="24"/>
          <w:szCs w:val="20"/>
          <w:lang w:val="en-GB"/>
        </w:rPr>
        <w:t xml:space="preserve"> recognised that the entities in these sectors </w:t>
      </w:r>
      <w:r w:rsidR="00466A2E" w:rsidRPr="00CD60B5">
        <w:rPr>
          <w:rFonts w:ascii="Calibri" w:eastAsia="Calibri" w:hAnsi="Calibri" w:cs="Calibri"/>
          <w:sz w:val="24"/>
          <w:szCs w:val="20"/>
          <w:lang w:val="en-GB"/>
        </w:rPr>
        <w:t>are</w:t>
      </w:r>
      <w:r w:rsidRPr="00CD60B5">
        <w:rPr>
          <w:rFonts w:ascii="Calibri" w:eastAsia="Calibri" w:hAnsi="Calibri" w:cs="Calibri"/>
          <w:sz w:val="24"/>
          <w:szCs w:val="20"/>
          <w:lang w:val="en-GB"/>
        </w:rPr>
        <w:t xml:space="preserve"> operating in a more commercial market so that, although the main principles of th</w:t>
      </w:r>
      <w:r w:rsidR="00466A2E" w:rsidRPr="00CD60B5">
        <w:rPr>
          <w:rFonts w:ascii="Calibri" w:eastAsia="Calibri" w:hAnsi="Calibri" w:cs="Calibri"/>
          <w:sz w:val="24"/>
          <w:szCs w:val="20"/>
          <w:lang w:val="en-GB"/>
        </w:rPr>
        <w:t>e public procurement rules need</w:t>
      </w:r>
      <w:r w:rsidRPr="00CD60B5">
        <w:rPr>
          <w:rFonts w:ascii="Calibri" w:eastAsia="Calibri" w:hAnsi="Calibri" w:cs="Calibri"/>
          <w:sz w:val="24"/>
          <w:szCs w:val="20"/>
          <w:lang w:val="en-GB"/>
        </w:rPr>
        <w:t xml:space="preserve"> to be respected, it </w:t>
      </w:r>
      <w:r w:rsidR="00466A2E" w:rsidRPr="00CD60B5">
        <w:rPr>
          <w:rFonts w:ascii="Calibri" w:eastAsia="Calibri" w:hAnsi="Calibri" w:cs="Calibri"/>
          <w:sz w:val="24"/>
          <w:szCs w:val="20"/>
          <w:lang w:val="en-GB"/>
        </w:rPr>
        <w:t>is</w:t>
      </w:r>
      <w:r w:rsidRPr="00CD60B5">
        <w:rPr>
          <w:rFonts w:ascii="Calibri" w:eastAsia="Calibri" w:hAnsi="Calibri" w:cs="Calibri"/>
          <w:sz w:val="24"/>
          <w:szCs w:val="20"/>
          <w:lang w:val="en-GB"/>
        </w:rPr>
        <w:t xml:space="preserve"> also necessary to provide some flexibility in order to take account of the reality of the environment in which their activities </w:t>
      </w:r>
      <w:r w:rsidR="00466A2E" w:rsidRPr="00CD60B5">
        <w:rPr>
          <w:rFonts w:ascii="Calibri" w:eastAsia="Calibri" w:hAnsi="Calibri" w:cs="Calibri"/>
          <w:sz w:val="24"/>
          <w:szCs w:val="20"/>
          <w:lang w:val="en-GB"/>
        </w:rPr>
        <w:t>take</w:t>
      </w:r>
      <w:r w:rsidRPr="00CD60B5">
        <w:rPr>
          <w:rFonts w:ascii="Calibri" w:eastAsia="Calibri" w:hAnsi="Calibri" w:cs="Calibri"/>
          <w:sz w:val="24"/>
          <w:szCs w:val="20"/>
          <w:lang w:val="en-GB"/>
        </w:rPr>
        <w:t xml:space="preserve"> place.</w:t>
      </w:r>
    </w:p>
    <w:p w:rsidR="00B723D6" w:rsidRPr="00CD60B5" w:rsidRDefault="00B723D6"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The Utilities Directive 2014/25 is composed of a long preamble (142 recitals) followed by 110 articles (35 articles more than in 2004/17 directive) and 21 annexes (down from 26 annexes in 2004/17 directive). The preamble is very important for purposes of interpretation of the directive’s provisions. It explains not only the reasons behind the adoption of specific provisions but advises also on how to understand the new rules.  </w:t>
      </w:r>
    </w:p>
    <w:p w:rsidR="00D154DD" w:rsidRDefault="00D154DD" w:rsidP="00DB318D">
      <w:pPr>
        <w:keepNext w:val="0"/>
        <w:keepLines w:val="0"/>
        <w:spacing w:after="120" w:line="240" w:lineRule="auto"/>
        <w:jc w:val="both"/>
        <w:rPr>
          <w:rFonts w:ascii="Calibri" w:eastAsia="Calibri" w:hAnsi="Calibri" w:cs="Calibri"/>
          <w:sz w:val="24"/>
          <w:szCs w:val="20"/>
          <w:lang w:val="en-GB"/>
        </w:rPr>
      </w:pPr>
      <w:r w:rsidRPr="00D154DD">
        <w:rPr>
          <w:rFonts w:ascii="Calibri" w:eastAsia="Calibri" w:hAnsi="Calibri" w:cs="Calibri"/>
          <w:sz w:val="24"/>
          <w:szCs w:val="20"/>
          <w:lang w:val="en-GB"/>
        </w:rPr>
        <w:t>New utilities rules are practically modelled on new public sector rules. It has to be noted that, although new Utilities Directive has more flexible rules than the new Public Sector Directive, fewer differences remained between two set of rules as compared to 2004 Directives.</w:t>
      </w:r>
    </w:p>
    <w:p w:rsidR="00B723D6" w:rsidRPr="00CD60B5" w:rsidRDefault="00B723D6"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Annex XXI to the new Utilities </w:t>
      </w:r>
      <w:r w:rsidR="00285C76">
        <w:rPr>
          <w:rFonts w:ascii="Calibri" w:eastAsia="Calibri" w:hAnsi="Calibri" w:cs="Calibri"/>
          <w:sz w:val="24"/>
          <w:szCs w:val="20"/>
          <w:lang w:val="en-GB"/>
        </w:rPr>
        <w:t>D</w:t>
      </w:r>
      <w:r w:rsidRPr="00CD60B5">
        <w:rPr>
          <w:rFonts w:ascii="Calibri" w:eastAsia="Calibri" w:hAnsi="Calibri" w:cs="Calibri"/>
          <w:sz w:val="24"/>
          <w:szCs w:val="20"/>
          <w:lang w:val="en-GB"/>
        </w:rPr>
        <w:t xml:space="preserve">irective contains a table presenting correlation between provisions of the new Utilities Directive and 2014/17 directive. This table lists 85 provisions of the new directive (paragraphs, subparagraphs and smaller units) out of the total number of 319 as not having their equivalents in the provisions of 2004/17 directive. That means that roughly one third of text </w:t>
      </w:r>
      <w:r w:rsidR="00285C76">
        <w:rPr>
          <w:rFonts w:ascii="Calibri" w:eastAsia="Calibri" w:hAnsi="Calibri" w:cs="Calibri"/>
          <w:sz w:val="24"/>
          <w:szCs w:val="20"/>
          <w:lang w:val="en-GB"/>
        </w:rPr>
        <w:t xml:space="preserve">of </w:t>
      </w:r>
      <w:r w:rsidRPr="00CD60B5">
        <w:rPr>
          <w:rFonts w:ascii="Calibri" w:eastAsia="Calibri" w:hAnsi="Calibri" w:cs="Calibri"/>
          <w:sz w:val="24"/>
          <w:szCs w:val="20"/>
          <w:lang w:val="en-GB"/>
        </w:rPr>
        <w:t xml:space="preserve">the new </w:t>
      </w:r>
      <w:r w:rsidR="00285C76">
        <w:rPr>
          <w:rFonts w:ascii="Calibri" w:eastAsia="Calibri" w:hAnsi="Calibri" w:cs="Calibri"/>
          <w:sz w:val="24"/>
          <w:szCs w:val="20"/>
          <w:lang w:val="en-GB"/>
        </w:rPr>
        <w:t>D</w:t>
      </w:r>
      <w:r w:rsidRPr="00CD60B5">
        <w:rPr>
          <w:rFonts w:ascii="Calibri" w:eastAsia="Calibri" w:hAnsi="Calibri" w:cs="Calibri"/>
          <w:sz w:val="24"/>
          <w:szCs w:val="20"/>
          <w:lang w:val="en-GB"/>
        </w:rPr>
        <w:t>irective consists of entire</w:t>
      </w:r>
      <w:r w:rsidR="00D154DD">
        <w:rPr>
          <w:rFonts w:ascii="Calibri" w:eastAsia="Calibri" w:hAnsi="Calibri" w:cs="Calibri"/>
          <w:sz w:val="24"/>
          <w:szCs w:val="20"/>
          <w:lang w:val="en-GB"/>
        </w:rPr>
        <w:t>ly</w:t>
      </w:r>
      <w:r w:rsidRPr="00CD60B5">
        <w:rPr>
          <w:rFonts w:ascii="Calibri" w:eastAsia="Calibri" w:hAnsi="Calibri" w:cs="Calibri"/>
          <w:sz w:val="24"/>
          <w:szCs w:val="20"/>
          <w:lang w:val="en-GB"/>
        </w:rPr>
        <w:t xml:space="preserve"> new provisions. In addition, there are provisions which were retained in substance from the previous rules but changed in some elements (for example minimum time periods for receipt of requests and tenders were shortened).</w:t>
      </w:r>
    </w:p>
    <w:p w:rsidR="008C4050" w:rsidRPr="00D154DD" w:rsidRDefault="008C4050" w:rsidP="00DB318D">
      <w:pPr>
        <w:keepNext w:val="0"/>
        <w:keepLines w:val="0"/>
        <w:spacing w:after="120" w:line="240" w:lineRule="auto"/>
        <w:jc w:val="both"/>
        <w:rPr>
          <w:rFonts w:ascii="Calibri" w:eastAsia="Calibri" w:hAnsi="Calibri" w:cs="Calibri"/>
          <w:sz w:val="24"/>
          <w:szCs w:val="20"/>
          <w:lang w:val="en-GB"/>
        </w:rPr>
      </w:pPr>
      <w:r w:rsidRPr="00D154DD">
        <w:rPr>
          <w:rFonts w:ascii="Calibri" w:eastAsia="Calibri" w:hAnsi="Calibri" w:cs="Calibri"/>
          <w:sz w:val="24"/>
          <w:szCs w:val="20"/>
          <w:lang w:val="en-GB"/>
        </w:rPr>
        <w:t>The entities covered by the EU procurement rules fall within two broad categories. The first category consists of entities over which the state may exercise direct control. These are public authorities and bodies governed by p</w:t>
      </w:r>
      <w:r w:rsidR="00B723D6" w:rsidRPr="00D154DD">
        <w:rPr>
          <w:rFonts w:ascii="Calibri" w:eastAsia="Calibri" w:hAnsi="Calibri" w:cs="Calibri"/>
          <w:sz w:val="24"/>
          <w:szCs w:val="20"/>
          <w:lang w:val="en-GB"/>
        </w:rPr>
        <w:t xml:space="preserve">ublic law. The second category </w:t>
      </w:r>
      <w:r w:rsidRPr="00D154DD">
        <w:rPr>
          <w:rFonts w:ascii="Calibri" w:eastAsia="Calibri" w:hAnsi="Calibri" w:cs="Calibri"/>
          <w:sz w:val="24"/>
          <w:szCs w:val="20"/>
          <w:lang w:val="en-GB"/>
        </w:rPr>
        <w:t xml:space="preserve">consists of defined public </w:t>
      </w:r>
      <w:r w:rsidR="00B723D6" w:rsidRPr="00D154DD">
        <w:rPr>
          <w:rFonts w:ascii="Calibri" w:eastAsia="Calibri" w:hAnsi="Calibri" w:cs="Calibri"/>
          <w:sz w:val="24"/>
          <w:szCs w:val="20"/>
          <w:lang w:val="en-GB"/>
        </w:rPr>
        <w:t>undertakings</w:t>
      </w:r>
      <w:r w:rsidRPr="00D154DD">
        <w:rPr>
          <w:rFonts w:ascii="Calibri" w:eastAsia="Calibri" w:hAnsi="Calibri" w:cs="Calibri"/>
          <w:sz w:val="24"/>
          <w:szCs w:val="20"/>
          <w:lang w:val="en-GB"/>
        </w:rPr>
        <w:t xml:space="preserve"> and those private entities that operate in their relevant sectors on the basis of special or exclusive rights </w:t>
      </w:r>
      <w:r w:rsidR="00DE6E85" w:rsidRPr="00D154DD">
        <w:rPr>
          <w:rFonts w:ascii="Calibri" w:eastAsia="Calibri" w:hAnsi="Calibri" w:cs="Calibri"/>
          <w:sz w:val="24"/>
          <w:szCs w:val="20"/>
          <w:lang w:val="en-GB"/>
        </w:rPr>
        <w:t>granted by a Member S</w:t>
      </w:r>
      <w:r w:rsidRPr="00D154DD">
        <w:rPr>
          <w:rFonts w:ascii="Calibri" w:eastAsia="Calibri" w:hAnsi="Calibri" w:cs="Calibri"/>
          <w:sz w:val="24"/>
          <w:szCs w:val="20"/>
          <w:lang w:val="en-GB"/>
        </w:rPr>
        <w:t>tate.</w:t>
      </w:r>
    </w:p>
    <w:p w:rsidR="008C4050" w:rsidRPr="00D154DD" w:rsidRDefault="008C4050" w:rsidP="00DB318D">
      <w:pPr>
        <w:keepNext w:val="0"/>
        <w:keepLines w:val="0"/>
        <w:spacing w:after="120" w:line="240" w:lineRule="auto"/>
        <w:jc w:val="both"/>
        <w:rPr>
          <w:rFonts w:ascii="Calibri" w:eastAsia="Calibri" w:hAnsi="Calibri" w:cs="Calibri"/>
          <w:sz w:val="24"/>
          <w:szCs w:val="20"/>
          <w:lang w:val="en-GB"/>
        </w:rPr>
      </w:pPr>
      <w:r w:rsidRPr="00D154DD">
        <w:rPr>
          <w:rFonts w:ascii="Calibri" w:eastAsia="Calibri" w:hAnsi="Calibri" w:cs="Calibri"/>
          <w:sz w:val="24"/>
          <w:szCs w:val="20"/>
          <w:lang w:val="en-GB"/>
        </w:rPr>
        <w:t>It is important to remember that, unlike in the case of the Public Sector Directive, where contracting authorities once caught by the definition must carry out all of their procurement according to that directive, public authorities, bodies governed by public law and other entities covered by the Utilities Directive are covered only to the extent that they carry out a relevant activity defined in the Utilities Directive. To fall within the scope of application of the Utilities Directive, they must (i) fall within the definition of an entity operating in a utility sector, and (ii) carry out a relevant activity (only or as one among many relevant and/or non-relevant activities).</w:t>
      </w:r>
    </w:p>
    <w:p w:rsidR="00DE6E85" w:rsidRPr="00D154DD" w:rsidRDefault="00DE6E85" w:rsidP="00DB318D">
      <w:pPr>
        <w:keepNext w:val="0"/>
        <w:keepLines w:val="0"/>
        <w:spacing w:after="120" w:line="240" w:lineRule="auto"/>
        <w:jc w:val="both"/>
        <w:rPr>
          <w:rFonts w:ascii="Calibri" w:eastAsia="Calibri" w:hAnsi="Calibri" w:cs="Calibri"/>
          <w:sz w:val="24"/>
          <w:szCs w:val="20"/>
          <w:lang w:val="en-GB"/>
        </w:rPr>
      </w:pPr>
      <w:r w:rsidRPr="00D154DD">
        <w:rPr>
          <w:rFonts w:ascii="Calibri" w:eastAsia="Calibri" w:hAnsi="Calibri" w:cs="Calibri"/>
          <w:sz w:val="24"/>
          <w:szCs w:val="20"/>
          <w:lang w:val="en-GB"/>
        </w:rPr>
        <w:t>As stated above, the Public Sector Directive excludes from its scope of application all public contracts that are awarded by contracting authorities under the Utilities Directive. It also makes clear that contracts that are excluded from the Utilities Directive do not, at the same time, re-enter the scope of application of the Public Sector Directive. As a result, public authorities carrying out relevant activities in the utilities sector are covered by the Utilities Directive, not by the Public Sector Directive.</w:t>
      </w:r>
    </w:p>
    <w:p w:rsidR="00CA3838" w:rsidRPr="00D154DD" w:rsidRDefault="00CA3838" w:rsidP="00DB318D">
      <w:pPr>
        <w:pStyle w:val="Heading3"/>
        <w:keepNext w:val="0"/>
        <w:keepLines w:val="0"/>
        <w:rPr>
          <w:rFonts w:eastAsia="Calibri"/>
          <w:lang w:val="en-GB"/>
        </w:rPr>
      </w:pPr>
      <w:bookmarkStart w:id="5" w:name="_Toc419719673"/>
      <w:r w:rsidRPr="00D154DD">
        <w:rPr>
          <w:rFonts w:eastAsia="Calibri"/>
          <w:lang w:val="en-GB"/>
        </w:rPr>
        <w:t>Options for Serbia</w:t>
      </w:r>
      <w:bookmarkEnd w:id="5"/>
    </w:p>
    <w:p w:rsidR="00CA3838" w:rsidRPr="00CD60B5" w:rsidRDefault="00CA3838"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lastRenderedPageBreak/>
        <w:t xml:space="preserve">Except for apparent differences between the Utilities and </w:t>
      </w:r>
      <w:r w:rsidR="009A331B" w:rsidRPr="00CD60B5">
        <w:rPr>
          <w:rFonts w:ascii="Calibri" w:eastAsia="Calibri" w:hAnsi="Calibri" w:cs="Calibri"/>
          <w:sz w:val="24"/>
          <w:szCs w:val="20"/>
          <w:lang w:val="en-GB"/>
        </w:rPr>
        <w:t xml:space="preserve">the </w:t>
      </w:r>
      <w:r w:rsidRPr="00CD60B5">
        <w:rPr>
          <w:rFonts w:ascii="Calibri" w:eastAsia="Calibri" w:hAnsi="Calibri" w:cs="Calibri"/>
          <w:sz w:val="24"/>
          <w:szCs w:val="20"/>
          <w:lang w:val="en-GB"/>
        </w:rPr>
        <w:t xml:space="preserve">Public Sector Directive, such as </w:t>
      </w:r>
      <w:r w:rsidR="00D154DD">
        <w:rPr>
          <w:rFonts w:ascii="Calibri" w:eastAsia="Calibri" w:hAnsi="Calibri" w:cs="Calibri"/>
          <w:sz w:val="24"/>
          <w:szCs w:val="20"/>
          <w:lang w:val="en-GB"/>
        </w:rPr>
        <w:t xml:space="preserve">the definition of </w:t>
      </w:r>
      <w:r w:rsidRPr="00CD60B5">
        <w:rPr>
          <w:rFonts w:ascii="Calibri" w:eastAsia="Calibri" w:hAnsi="Calibri" w:cs="Calibri"/>
          <w:sz w:val="24"/>
          <w:szCs w:val="20"/>
          <w:lang w:val="en-GB"/>
        </w:rPr>
        <w:t>entities, thresholds, relevant activities, some exclusions</w:t>
      </w:r>
      <w:r w:rsidR="00081C98" w:rsidRPr="00CD60B5">
        <w:rPr>
          <w:rFonts w:ascii="Calibri" w:eastAsia="Calibri" w:hAnsi="Calibri" w:cs="Calibri"/>
          <w:sz w:val="24"/>
          <w:szCs w:val="20"/>
          <w:lang w:val="en-GB"/>
        </w:rPr>
        <w:t>, qualification systems</w:t>
      </w:r>
      <w:r w:rsidR="005C3C9C">
        <w:rPr>
          <w:rFonts w:ascii="Calibri" w:eastAsia="Calibri" w:hAnsi="Calibri" w:cs="Calibri"/>
          <w:sz w:val="24"/>
          <w:szCs w:val="20"/>
          <w:lang w:val="en-GB"/>
        </w:rPr>
        <w:t>,</w:t>
      </w:r>
      <w:r w:rsidRPr="00CD60B5">
        <w:rPr>
          <w:rFonts w:ascii="Calibri" w:eastAsia="Calibri" w:hAnsi="Calibri" w:cs="Calibri"/>
          <w:sz w:val="24"/>
          <w:szCs w:val="20"/>
          <w:lang w:val="en-GB"/>
        </w:rPr>
        <w:t xml:space="preserve"> etc.</w:t>
      </w:r>
      <w:r w:rsidR="00BC3A30">
        <w:rPr>
          <w:rFonts w:ascii="Calibri" w:eastAsia="Calibri" w:hAnsi="Calibri" w:cs="Calibri"/>
          <w:sz w:val="24"/>
          <w:szCs w:val="20"/>
          <w:lang w:val="en-GB"/>
        </w:rPr>
        <w:t>,</w:t>
      </w:r>
      <w:r w:rsidRPr="00CD60B5">
        <w:rPr>
          <w:rFonts w:ascii="Calibri" w:eastAsia="Calibri" w:hAnsi="Calibri" w:cs="Calibri"/>
          <w:sz w:val="24"/>
          <w:szCs w:val="20"/>
          <w:lang w:val="en-GB"/>
        </w:rPr>
        <w:t xml:space="preserve"> other provisions seem identical or very similar. However, by detailed comparison of the provisions of the two directives it can be concluded that there are many </w:t>
      </w:r>
      <w:r w:rsidR="00D154DD">
        <w:rPr>
          <w:rFonts w:ascii="Calibri" w:eastAsia="Calibri" w:hAnsi="Calibri" w:cs="Calibri"/>
          <w:sz w:val="24"/>
          <w:szCs w:val="20"/>
          <w:lang w:val="en-GB"/>
        </w:rPr>
        <w:t xml:space="preserve">more </w:t>
      </w:r>
      <w:r w:rsidRPr="00CD60B5">
        <w:rPr>
          <w:rFonts w:ascii="Calibri" w:eastAsia="Calibri" w:hAnsi="Calibri" w:cs="Calibri"/>
          <w:sz w:val="24"/>
          <w:szCs w:val="20"/>
          <w:lang w:val="en-GB"/>
        </w:rPr>
        <w:t>differences. For example:</w:t>
      </w:r>
    </w:p>
    <w:p w:rsidR="00CA3838" w:rsidRPr="00CD60B5" w:rsidRDefault="002C6246"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P</w:t>
      </w:r>
      <w:r w:rsidR="00CA3838" w:rsidRPr="00CD60B5">
        <w:rPr>
          <w:rFonts w:ascii="Calibri" w:eastAsia="Times New Roman" w:hAnsi="Calibri" w:cs="Calibri"/>
          <w:sz w:val="24"/>
          <w:szCs w:val="24"/>
          <w:lang w:val="en-GB" w:eastAsia="hr-HR"/>
        </w:rPr>
        <w:t xml:space="preserve">rovisions on conflict of interest do not apply to public and private </w:t>
      </w:r>
      <w:r w:rsidRPr="00CD60B5">
        <w:rPr>
          <w:rFonts w:ascii="Calibri" w:eastAsia="Times New Roman" w:hAnsi="Calibri" w:cs="Calibri"/>
          <w:sz w:val="24"/>
          <w:szCs w:val="24"/>
          <w:lang w:val="en-GB" w:eastAsia="hr-HR"/>
        </w:rPr>
        <w:t>undertakings</w:t>
      </w:r>
      <w:r w:rsidR="009A331B" w:rsidRPr="00CD60B5">
        <w:rPr>
          <w:rFonts w:ascii="Calibri" w:eastAsia="Times New Roman" w:hAnsi="Calibri" w:cs="Calibri"/>
          <w:sz w:val="24"/>
          <w:szCs w:val="24"/>
          <w:lang w:val="en-GB" w:eastAsia="hr-HR"/>
        </w:rPr>
        <w:t>,</w:t>
      </w:r>
    </w:p>
    <w:p w:rsidR="00CA3838" w:rsidRPr="00CD60B5" w:rsidRDefault="002C6246"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C</w:t>
      </w:r>
      <w:r w:rsidR="00CA3838" w:rsidRPr="00CD60B5">
        <w:rPr>
          <w:rFonts w:ascii="Calibri" w:eastAsia="Times New Roman" w:hAnsi="Calibri" w:cs="Calibri"/>
          <w:sz w:val="24"/>
          <w:szCs w:val="24"/>
          <w:lang w:val="en-GB" w:eastAsia="hr-HR"/>
        </w:rPr>
        <w:t xml:space="preserve">ontracting entities </w:t>
      </w:r>
      <w:r w:rsidR="00BC3A30">
        <w:rPr>
          <w:rFonts w:ascii="Calibri" w:eastAsia="Times New Roman" w:hAnsi="Calibri" w:cs="Calibri"/>
          <w:sz w:val="24"/>
          <w:szCs w:val="24"/>
          <w:lang w:val="en-GB" w:eastAsia="hr-HR"/>
        </w:rPr>
        <w:t xml:space="preserve">are </w:t>
      </w:r>
      <w:r w:rsidR="00CA3838" w:rsidRPr="00CD60B5">
        <w:rPr>
          <w:rFonts w:ascii="Calibri" w:eastAsia="Times New Roman" w:hAnsi="Calibri" w:cs="Calibri"/>
          <w:sz w:val="24"/>
          <w:szCs w:val="24"/>
          <w:lang w:val="en-GB" w:eastAsia="hr-HR"/>
        </w:rPr>
        <w:t>free to choose whether to award several contracts (dividing procurement into lots) or award one single contract (no obligation to justify this decision)</w:t>
      </w:r>
      <w:r w:rsidR="009A331B" w:rsidRPr="00CD60B5">
        <w:rPr>
          <w:rFonts w:ascii="Calibri" w:eastAsia="Times New Roman" w:hAnsi="Calibri" w:cs="Calibri"/>
          <w:sz w:val="24"/>
          <w:szCs w:val="24"/>
          <w:lang w:val="en-GB" w:eastAsia="hr-HR"/>
        </w:rPr>
        <w:t>,</w:t>
      </w:r>
    </w:p>
    <w:p w:rsidR="00CA3838" w:rsidRPr="00CD60B5" w:rsidRDefault="002C6246"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O</w:t>
      </w:r>
      <w:r w:rsidR="00CA3838" w:rsidRPr="00CD60B5">
        <w:rPr>
          <w:rFonts w:ascii="Calibri" w:eastAsia="Times New Roman" w:hAnsi="Calibri" w:cs="Calibri"/>
          <w:sz w:val="24"/>
          <w:szCs w:val="24"/>
          <w:lang w:val="en-GB" w:eastAsia="hr-HR"/>
        </w:rPr>
        <w:t>bligation to exclude economic operator</w:t>
      </w:r>
      <w:r w:rsidR="00BC3A30">
        <w:rPr>
          <w:rFonts w:ascii="Calibri" w:eastAsia="Times New Roman" w:hAnsi="Calibri" w:cs="Calibri"/>
          <w:sz w:val="24"/>
          <w:szCs w:val="24"/>
          <w:lang w:val="en-GB" w:eastAsia="hr-HR"/>
        </w:rPr>
        <w:t xml:space="preserve"> is</w:t>
      </w:r>
      <w:r w:rsidR="00CA3838" w:rsidRPr="00CD60B5">
        <w:rPr>
          <w:rFonts w:ascii="Calibri" w:eastAsia="Times New Roman" w:hAnsi="Calibri" w:cs="Calibri"/>
          <w:sz w:val="24"/>
          <w:szCs w:val="24"/>
          <w:lang w:val="en-GB" w:eastAsia="hr-HR"/>
        </w:rPr>
        <w:t xml:space="preserve"> applicable only with regard public purchasers</w:t>
      </w:r>
      <w:r w:rsidR="009A331B" w:rsidRPr="00CD60B5">
        <w:rPr>
          <w:rFonts w:ascii="Calibri" w:eastAsia="Times New Roman" w:hAnsi="Calibri" w:cs="Calibri"/>
          <w:sz w:val="24"/>
          <w:szCs w:val="24"/>
          <w:lang w:val="en-GB" w:eastAsia="hr-HR"/>
        </w:rPr>
        <w:t>,</w:t>
      </w:r>
    </w:p>
    <w:p w:rsidR="00CA3838" w:rsidRPr="00CD60B5" w:rsidRDefault="00BC3A30"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Pr>
          <w:rFonts w:ascii="Calibri" w:eastAsia="Times New Roman" w:hAnsi="Calibri" w:cs="Calibri"/>
          <w:sz w:val="24"/>
          <w:szCs w:val="24"/>
          <w:lang w:val="en-GB" w:eastAsia="hr-HR"/>
        </w:rPr>
        <w:t>There are n</w:t>
      </w:r>
      <w:r w:rsidR="00CA3838" w:rsidRPr="00CD60B5">
        <w:rPr>
          <w:rFonts w:ascii="Calibri" w:eastAsia="Times New Roman" w:hAnsi="Calibri" w:cs="Calibri"/>
          <w:sz w:val="24"/>
          <w:szCs w:val="24"/>
          <w:lang w:val="en-GB" w:eastAsia="hr-HR"/>
        </w:rPr>
        <w:t>o specific conditions for the use of any of procedure needed</w:t>
      </w:r>
      <w:r w:rsidR="00081C98" w:rsidRPr="00CD60B5">
        <w:rPr>
          <w:rFonts w:ascii="Calibri" w:eastAsia="Times New Roman" w:hAnsi="Calibri" w:cs="Calibri"/>
          <w:sz w:val="24"/>
          <w:szCs w:val="24"/>
          <w:lang w:val="en-GB" w:eastAsia="hr-HR"/>
        </w:rPr>
        <w:t>, except for the</w:t>
      </w:r>
      <w:r w:rsidR="00CA3838" w:rsidRPr="00CD60B5">
        <w:rPr>
          <w:rFonts w:ascii="Calibri" w:eastAsia="Times New Roman" w:hAnsi="Calibri" w:cs="Calibri"/>
          <w:sz w:val="24"/>
          <w:szCs w:val="24"/>
          <w:lang w:val="en-GB" w:eastAsia="hr-HR"/>
        </w:rPr>
        <w:t xml:space="preserve"> use of negotiated procedure</w:t>
      </w:r>
      <w:r w:rsidR="00081C98" w:rsidRPr="00CD60B5">
        <w:rPr>
          <w:rFonts w:ascii="Calibri" w:eastAsia="Times New Roman" w:hAnsi="Calibri" w:cs="Calibri"/>
          <w:sz w:val="24"/>
          <w:szCs w:val="24"/>
          <w:lang w:val="en-GB" w:eastAsia="hr-HR"/>
        </w:rPr>
        <w:t xml:space="preserve"> without prior publication</w:t>
      </w:r>
      <w:r w:rsidR="009A331B" w:rsidRPr="00CD60B5">
        <w:rPr>
          <w:rFonts w:ascii="Calibri" w:eastAsia="Times New Roman" w:hAnsi="Calibri" w:cs="Calibri"/>
          <w:sz w:val="24"/>
          <w:szCs w:val="24"/>
          <w:lang w:val="en-GB" w:eastAsia="hr-HR"/>
        </w:rPr>
        <w:t>,</w:t>
      </w:r>
    </w:p>
    <w:p w:rsidR="00081C98" w:rsidRPr="00CD60B5" w:rsidRDefault="00081C98"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 xml:space="preserve">Conditions for the use of negotiated procedure without a prior call for competition are identical </w:t>
      </w:r>
      <w:r w:rsidR="00BC3A30">
        <w:rPr>
          <w:rFonts w:ascii="Calibri" w:eastAsia="Times New Roman" w:hAnsi="Calibri" w:cs="Calibri"/>
          <w:sz w:val="24"/>
          <w:szCs w:val="24"/>
          <w:lang w:val="en-GB" w:eastAsia="hr-HR"/>
        </w:rPr>
        <w:t xml:space="preserve">to </w:t>
      </w:r>
      <w:r w:rsidRPr="00CD60B5">
        <w:rPr>
          <w:rFonts w:ascii="Calibri" w:eastAsia="Times New Roman" w:hAnsi="Calibri" w:cs="Calibri"/>
          <w:sz w:val="24"/>
          <w:szCs w:val="24"/>
          <w:lang w:val="en-GB" w:eastAsia="hr-HR"/>
        </w:rPr>
        <w:t xml:space="preserve">conditions as in Public Sector Directive but: </w:t>
      </w:r>
    </w:p>
    <w:p w:rsidR="00081C98" w:rsidRPr="00CD60B5" w:rsidRDefault="00081C98" w:rsidP="00DB318D">
      <w:pPr>
        <w:keepNext w:val="0"/>
        <w:keepLines w:val="0"/>
        <w:numPr>
          <w:ilvl w:val="1"/>
          <w:numId w:val="4"/>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 xml:space="preserve">the scope of condition concerning research and experiments is wider </w:t>
      </w:r>
      <w:r w:rsidR="009A331B" w:rsidRPr="00CD60B5">
        <w:rPr>
          <w:rFonts w:ascii="Calibri" w:eastAsia="Times New Roman" w:hAnsi="Calibri" w:cs="Calibri"/>
          <w:sz w:val="24"/>
          <w:szCs w:val="24"/>
          <w:lang w:val="en-GB" w:eastAsia="hr-HR"/>
        </w:rPr>
        <w:t>–</w:t>
      </w:r>
      <w:r w:rsidRPr="00CD60B5">
        <w:rPr>
          <w:rFonts w:ascii="Calibri" w:eastAsia="Times New Roman" w:hAnsi="Calibri" w:cs="Calibri"/>
          <w:sz w:val="24"/>
          <w:szCs w:val="24"/>
          <w:lang w:val="en-GB" w:eastAsia="hr-HR"/>
        </w:rPr>
        <w:t xml:space="preserve"> </w:t>
      </w:r>
      <w:r w:rsidR="009A331B" w:rsidRPr="00CD60B5">
        <w:rPr>
          <w:rFonts w:ascii="Calibri" w:eastAsia="Times New Roman" w:hAnsi="Calibri" w:cs="Calibri"/>
          <w:sz w:val="24"/>
          <w:szCs w:val="24"/>
          <w:lang w:val="en-GB" w:eastAsia="hr-HR"/>
        </w:rPr>
        <w:t>“</w:t>
      </w:r>
      <w:r w:rsidRPr="00CD60B5">
        <w:rPr>
          <w:rFonts w:ascii="Calibri" w:eastAsia="Times New Roman" w:hAnsi="Calibri" w:cs="Calibri"/>
          <w:sz w:val="24"/>
          <w:szCs w:val="24"/>
          <w:lang w:val="en-GB" w:eastAsia="hr-HR"/>
        </w:rPr>
        <w:t xml:space="preserve">contract” v </w:t>
      </w:r>
      <w:r w:rsidR="009A331B" w:rsidRPr="00CD60B5">
        <w:rPr>
          <w:rFonts w:ascii="Calibri" w:eastAsia="Times New Roman" w:hAnsi="Calibri" w:cs="Calibri"/>
          <w:sz w:val="24"/>
          <w:szCs w:val="24"/>
          <w:lang w:val="en-GB" w:eastAsia="hr-HR"/>
        </w:rPr>
        <w:t>”</w:t>
      </w:r>
      <w:r w:rsidRPr="00CD60B5">
        <w:rPr>
          <w:rFonts w:ascii="Calibri" w:eastAsia="Times New Roman" w:hAnsi="Calibri" w:cs="Calibri"/>
          <w:sz w:val="24"/>
          <w:szCs w:val="24"/>
          <w:lang w:val="en-GB" w:eastAsia="hr-HR"/>
        </w:rPr>
        <w:t>the products”</w:t>
      </w:r>
      <w:r w:rsidR="00BC3A30">
        <w:rPr>
          <w:rFonts w:ascii="Calibri" w:eastAsia="Times New Roman" w:hAnsi="Calibri" w:cs="Calibri"/>
          <w:sz w:val="24"/>
          <w:szCs w:val="24"/>
          <w:lang w:val="en-GB" w:eastAsia="hr-HR"/>
        </w:rPr>
        <w:t>,</w:t>
      </w:r>
    </w:p>
    <w:p w:rsidR="00081C98" w:rsidRPr="00CD60B5" w:rsidRDefault="009A331B" w:rsidP="00DB318D">
      <w:pPr>
        <w:keepNext w:val="0"/>
        <w:keepLines w:val="0"/>
        <w:numPr>
          <w:ilvl w:val="1"/>
          <w:numId w:val="4"/>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w:t>
      </w:r>
      <w:r w:rsidR="00081C98" w:rsidRPr="00CD60B5">
        <w:rPr>
          <w:rFonts w:ascii="Calibri" w:eastAsia="Times New Roman" w:hAnsi="Calibri" w:cs="Calibri"/>
          <w:sz w:val="24"/>
          <w:szCs w:val="24"/>
          <w:lang w:val="en-GB" w:eastAsia="hr-HR"/>
        </w:rPr>
        <w:t xml:space="preserve">bargain purchases” </w:t>
      </w:r>
      <w:r w:rsidR="00BC3A30">
        <w:rPr>
          <w:rFonts w:ascii="Calibri" w:eastAsia="Times New Roman" w:hAnsi="Calibri" w:cs="Calibri"/>
          <w:sz w:val="24"/>
          <w:szCs w:val="24"/>
          <w:lang w:val="en-GB" w:eastAsia="hr-HR"/>
        </w:rPr>
        <w:t xml:space="preserve">is </w:t>
      </w:r>
      <w:r w:rsidR="00081C98" w:rsidRPr="00CD60B5">
        <w:rPr>
          <w:rFonts w:ascii="Calibri" w:eastAsia="Times New Roman" w:hAnsi="Calibri" w:cs="Calibri"/>
          <w:sz w:val="24"/>
          <w:szCs w:val="24"/>
          <w:lang w:val="en-GB" w:eastAsia="hr-HR"/>
        </w:rPr>
        <w:t>available for a very short time at a price considerably lower than normal market prices</w:t>
      </w:r>
      <w:r w:rsidRPr="00CD60B5">
        <w:rPr>
          <w:rFonts w:ascii="Calibri" w:eastAsia="Times New Roman" w:hAnsi="Calibri" w:cs="Calibri"/>
          <w:sz w:val="24"/>
          <w:szCs w:val="24"/>
          <w:lang w:val="en-GB" w:eastAsia="hr-HR"/>
        </w:rPr>
        <w:t>,</w:t>
      </w:r>
    </w:p>
    <w:p w:rsidR="00081C98" w:rsidRPr="00CD60B5" w:rsidRDefault="00081C98"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Shorter time periods for receipt of requests to participate</w:t>
      </w:r>
      <w:r w:rsidR="009A331B" w:rsidRPr="00CD60B5">
        <w:rPr>
          <w:rFonts w:ascii="Calibri" w:eastAsia="Times New Roman" w:hAnsi="Calibri" w:cs="Calibri"/>
          <w:sz w:val="24"/>
          <w:szCs w:val="24"/>
          <w:lang w:val="en-GB" w:eastAsia="hr-HR"/>
        </w:rPr>
        <w:t>,</w:t>
      </w:r>
    </w:p>
    <w:p w:rsidR="00081C98" w:rsidRPr="00CD60B5" w:rsidRDefault="00081C98"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 xml:space="preserve">For receipt of tenders in restricted and negotiated procedures all contracting entities may agree the deadline with candidates (in </w:t>
      </w:r>
      <w:r w:rsidR="00864959">
        <w:rPr>
          <w:rFonts w:ascii="Calibri" w:eastAsia="Times New Roman" w:hAnsi="Calibri" w:cs="Calibri"/>
          <w:sz w:val="24"/>
          <w:szCs w:val="24"/>
          <w:lang w:val="en-GB" w:eastAsia="hr-HR"/>
        </w:rPr>
        <w:t xml:space="preserve">the </w:t>
      </w:r>
      <w:r w:rsidRPr="00CD60B5">
        <w:rPr>
          <w:rFonts w:ascii="Calibri" w:eastAsia="Times New Roman" w:hAnsi="Calibri" w:cs="Calibri"/>
          <w:sz w:val="24"/>
          <w:szCs w:val="24"/>
          <w:lang w:val="en-GB" w:eastAsia="hr-HR"/>
        </w:rPr>
        <w:t>Public Sector Directive it applies only to sub – central contracting authorities)</w:t>
      </w:r>
      <w:r w:rsidR="009A331B" w:rsidRPr="00CD60B5">
        <w:rPr>
          <w:rFonts w:ascii="Calibri" w:eastAsia="Times New Roman" w:hAnsi="Calibri" w:cs="Calibri"/>
          <w:sz w:val="24"/>
          <w:szCs w:val="24"/>
          <w:lang w:val="en-GB" w:eastAsia="hr-HR"/>
        </w:rPr>
        <w:t>,</w:t>
      </w:r>
    </w:p>
    <w:p w:rsidR="00081C98" w:rsidRPr="00CD60B5" w:rsidRDefault="002C6246"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M</w:t>
      </w:r>
      <w:r w:rsidR="00081C98" w:rsidRPr="00CD60B5">
        <w:rPr>
          <w:rFonts w:ascii="Calibri" w:eastAsia="Times New Roman" w:hAnsi="Calibri" w:cs="Calibri"/>
          <w:sz w:val="24"/>
          <w:szCs w:val="24"/>
          <w:lang w:val="en-GB" w:eastAsia="hr-HR"/>
        </w:rPr>
        <w:t xml:space="preserve">aximum duration of framework agreements is 8 years (4 years in </w:t>
      </w:r>
      <w:r w:rsidR="00864959">
        <w:rPr>
          <w:rFonts w:ascii="Calibri" w:eastAsia="Times New Roman" w:hAnsi="Calibri" w:cs="Calibri"/>
          <w:sz w:val="24"/>
          <w:szCs w:val="24"/>
          <w:lang w:val="en-GB" w:eastAsia="hr-HR"/>
        </w:rPr>
        <w:t>the P</w:t>
      </w:r>
      <w:r w:rsidR="00081C98" w:rsidRPr="00CD60B5">
        <w:rPr>
          <w:rFonts w:ascii="Calibri" w:eastAsia="Times New Roman" w:hAnsi="Calibri" w:cs="Calibri"/>
          <w:sz w:val="24"/>
          <w:szCs w:val="24"/>
          <w:lang w:val="en-GB" w:eastAsia="hr-HR"/>
        </w:rPr>
        <w:t xml:space="preserve">ublic </w:t>
      </w:r>
      <w:r w:rsidR="00864959">
        <w:rPr>
          <w:rFonts w:ascii="Calibri" w:eastAsia="Times New Roman" w:hAnsi="Calibri" w:cs="Calibri"/>
          <w:sz w:val="24"/>
          <w:szCs w:val="24"/>
          <w:lang w:val="en-GB" w:eastAsia="hr-HR"/>
        </w:rPr>
        <w:t>S</w:t>
      </w:r>
      <w:r w:rsidR="00081C98" w:rsidRPr="00CD60B5">
        <w:rPr>
          <w:rFonts w:ascii="Calibri" w:eastAsia="Times New Roman" w:hAnsi="Calibri" w:cs="Calibri"/>
          <w:sz w:val="24"/>
          <w:szCs w:val="24"/>
          <w:lang w:val="en-GB" w:eastAsia="hr-HR"/>
        </w:rPr>
        <w:t xml:space="preserve">ector </w:t>
      </w:r>
      <w:r w:rsidR="00864959">
        <w:rPr>
          <w:rFonts w:ascii="Calibri" w:eastAsia="Times New Roman" w:hAnsi="Calibri" w:cs="Calibri"/>
          <w:sz w:val="24"/>
          <w:szCs w:val="24"/>
          <w:lang w:val="en-GB" w:eastAsia="hr-HR"/>
        </w:rPr>
        <w:t>D</w:t>
      </w:r>
      <w:r w:rsidR="00081C98" w:rsidRPr="00CD60B5">
        <w:rPr>
          <w:rFonts w:ascii="Calibri" w:eastAsia="Times New Roman" w:hAnsi="Calibri" w:cs="Calibri"/>
          <w:sz w:val="24"/>
          <w:szCs w:val="24"/>
          <w:lang w:val="en-GB" w:eastAsia="hr-HR"/>
        </w:rPr>
        <w:t>irective),</w:t>
      </w:r>
    </w:p>
    <w:p w:rsidR="00081C98" w:rsidRPr="00CD60B5" w:rsidRDefault="002C6246"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O</w:t>
      </w:r>
      <w:r w:rsidR="00081C98" w:rsidRPr="00CD60B5">
        <w:rPr>
          <w:rFonts w:ascii="Calibri" w:eastAsia="Times New Roman" w:hAnsi="Calibri" w:cs="Calibri"/>
          <w:sz w:val="24"/>
          <w:szCs w:val="24"/>
          <w:lang w:val="en-GB" w:eastAsia="hr-HR"/>
        </w:rPr>
        <w:t>nly basic principles of awarding contracts based on framework agreements are defined (no details of the procedure as in the Public Sector Directive)</w:t>
      </w:r>
      <w:r w:rsidRPr="00CD60B5">
        <w:rPr>
          <w:rFonts w:ascii="Calibri" w:eastAsia="Times New Roman" w:hAnsi="Calibri" w:cs="Calibri"/>
          <w:sz w:val="24"/>
          <w:szCs w:val="24"/>
          <w:lang w:val="en-GB" w:eastAsia="hr-HR"/>
        </w:rPr>
        <w:t>.</w:t>
      </w:r>
    </w:p>
    <w:p w:rsidR="00081C98" w:rsidRPr="00CD60B5" w:rsidRDefault="002C6246"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All this leads to conclusion that </w:t>
      </w:r>
      <w:r w:rsidR="009A331B" w:rsidRPr="00CD60B5">
        <w:rPr>
          <w:rFonts w:ascii="Calibri" w:eastAsia="Calibri" w:hAnsi="Calibri" w:cs="Calibri"/>
          <w:sz w:val="24"/>
          <w:szCs w:val="20"/>
          <w:lang w:val="en-GB"/>
        </w:rPr>
        <w:t xml:space="preserve">specific </w:t>
      </w:r>
      <w:r w:rsidR="00D154DD" w:rsidRPr="00CD60B5">
        <w:rPr>
          <w:rFonts w:ascii="Calibri" w:eastAsia="Calibri" w:hAnsi="Calibri" w:cs="Calibri"/>
          <w:sz w:val="24"/>
          <w:szCs w:val="20"/>
          <w:lang w:val="en-GB"/>
        </w:rPr>
        <w:t>rules, which will be applicable for utilities,</w:t>
      </w:r>
      <w:r w:rsidRPr="00CD60B5">
        <w:rPr>
          <w:rFonts w:ascii="Calibri" w:eastAsia="Calibri" w:hAnsi="Calibri" w:cs="Calibri"/>
          <w:sz w:val="24"/>
          <w:szCs w:val="20"/>
          <w:lang w:val="en-GB"/>
        </w:rPr>
        <w:t xml:space="preserve"> </w:t>
      </w:r>
      <w:r w:rsidR="00864959">
        <w:rPr>
          <w:rFonts w:ascii="Calibri" w:eastAsia="Calibri" w:hAnsi="Calibri" w:cs="Calibri"/>
          <w:sz w:val="24"/>
          <w:szCs w:val="20"/>
          <w:lang w:val="en-GB"/>
        </w:rPr>
        <w:t>are</w:t>
      </w:r>
      <w:r w:rsidR="00864959" w:rsidRPr="00CD60B5">
        <w:rPr>
          <w:rFonts w:ascii="Calibri" w:eastAsia="Calibri" w:hAnsi="Calibri" w:cs="Calibri"/>
          <w:sz w:val="24"/>
          <w:szCs w:val="20"/>
          <w:lang w:val="en-GB"/>
        </w:rPr>
        <w:t xml:space="preserve"> </w:t>
      </w:r>
      <w:r w:rsidRPr="00CD60B5">
        <w:rPr>
          <w:rFonts w:ascii="Calibri" w:eastAsia="Calibri" w:hAnsi="Calibri" w:cs="Calibri"/>
          <w:sz w:val="24"/>
          <w:szCs w:val="20"/>
          <w:lang w:val="en-GB"/>
        </w:rPr>
        <w:t xml:space="preserve">required in </w:t>
      </w:r>
      <w:r w:rsidR="0040359C" w:rsidRPr="00CD60B5">
        <w:rPr>
          <w:rFonts w:ascii="Calibri" w:eastAsia="Calibri" w:hAnsi="Calibri" w:cs="Calibri"/>
          <w:sz w:val="24"/>
          <w:szCs w:val="20"/>
          <w:lang w:val="en-GB"/>
        </w:rPr>
        <w:t>national</w:t>
      </w:r>
      <w:r w:rsidRPr="00CD60B5">
        <w:rPr>
          <w:rFonts w:ascii="Calibri" w:eastAsia="Calibri" w:hAnsi="Calibri" w:cs="Calibri"/>
          <w:sz w:val="24"/>
          <w:szCs w:val="20"/>
          <w:lang w:val="en-GB"/>
        </w:rPr>
        <w:t xml:space="preserve"> legal order. In other words, </w:t>
      </w:r>
      <w:r w:rsidR="009A331B" w:rsidRPr="00CD60B5">
        <w:rPr>
          <w:rFonts w:ascii="Calibri" w:eastAsia="Calibri" w:hAnsi="Calibri" w:cs="Calibri"/>
          <w:sz w:val="24"/>
          <w:szCs w:val="20"/>
          <w:lang w:val="en-GB"/>
        </w:rPr>
        <w:t xml:space="preserve">the </w:t>
      </w:r>
      <w:r w:rsidRPr="00CD60B5">
        <w:rPr>
          <w:rFonts w:ascii="Calibri" w:eastAsia="Calibri" w:hAnsi="Calibri" w:cs="Calibri"/>
          <w:sz w:val="24"/>
          <w:szCs w:val="20"/>
          <w:lang w:val="en-GB"/>
        </w:rPr>
        <w:t>Utilities Directive need</w:t>
      </w:r>
      <w:r w:rsidR="009A331B" w:rsidRPr="00CD60B5">
        <w:rPr>
          <w:rFonts w:ascii="Calibri" w:eastAsia="Calibri" w:hAnsi="Calibri" w:cs="Calibri"/>
          <w:sz w:val="24"/>
          <w:szCs w:val="20"/>
          <w:lang w:val="en-GB"/>
        </w:rPr>
        <w:t>s</w:t>
      </w:r>
      <w:r w:rsidRPr="00CD60B5">
        <w:rPr>
          <w:rFonts w:ascii="Calibri" w:eastAsia="Calibri" w:hAnsi="Calibri" w:cs="Calibri"/>
          <w:sz w:val="24"/>
          <w:szCs w:val="20"/>
          <w:lang w:val="en-GB"/>
        </w:rPr>
        <w:t xml:space="preserve"> to be transposed since the rules of the Public Sector Directive cannot replace the r</w:t>
      </w:r>
      <w:r w:rsidR="00D154DD">
        <w:rPr>
          <w:rFonts w:ascii="Calibri" w:eastAsia="Calibri" w:hAnsi="Calibri" w:cs="Calibri"/>
          <w:sz w:val="24"/>
          <w:szCs w:val="20"/>
          <w:lang w:val="en-GB"/>
        </w:rPr>
        <w:t>ules specifically designed for u</w:t>
      </w:r>
      <w:r w:rsidRPr="00CD60B5">
        <w:rPr>
          <w:rFonts w:ascii="Calibri" w:eastAsia="Calibri" w:hAnsi="Calibri" w:cs="Calibri"/>
          <w:sz w:val="24"/>
          <w:szCs w:val="20"/>
          <w:lang w:val="en-GB"/>
        </w:rPr>
        <w:t>tilities.</w:t>
      </w:r>
    </w:p>
    <w:p w:rsidR="002C6246" w:rsidRPr="00CD60B5" w:rsidRDefault="002C6246"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There are at least </w:t>
      </w:r>
      <w:r w:rsidR="00D154DD">
        <w:rPr>
          <w:rFonts w:ascii="Calibri" w:eastAsia="Calibri" w:hAnsi="Calibri" w:cs="Calibri"/>
          <w:sz w:val="24"/>
          <w:szCs w:val="20"/>
          <w:lang w:val="en-GB"/>
        </w:rPr>
        <w:t>four</w:t>
      </w:r>
      <w:r w:rsidRPr="00CD60B5">
        <w:rPr>
          <w:rFonts w:ascii="Calibri" w:eastAsia="Calibri" w:hAnsi="Calibri" w:cs="Calibri"/>
          <w:sz w:val="24"/>
          <w:szCs w:val="20"/>
          <w:lang w:val="en-GB"/>
        </w:rPr>
        <w:t xml:space="preserve"> options </w:t>
      </w:r>
      <w:r w:rsidR="0040359C" w:rsidRPr="00CD60B5">
        <w:rPr>
          <w:rFonts w:ascii="Calibri" w:eastAsia="Calibri" w:hAnsi="Calibri" w:cs="Calibri"/>
          <w:sz w:val="24"/>
          <w:szCs w:val="20"/>
          <w:lang w:val="en-GB"/>
        </w:rPr>
        <w:t>with respect to</w:t>
      </w:r>
      <w:r w:rsidRPr="00CD60B5">
        <w:rPr>
          <w:rFonts w:ascii="Calibri" w:eastAsia="Calibri" w:hAnsi="Calibri" w:cs="Calibri"/>
          <w:sz w:val="24"/>
          <w:szCs w:val="20"/>
          <w:lang w:val="en-GB"/>
        </w:rPr>
        <w:t xml:space="preserve"> possible method of transposition of the Utilities Directive.</w:t>
      </w:r>
    </w:p>
    <w:p w:rsidR="002C6246" w:rsidRPr="00CD60B5" w:rsidRDefault="002C6246" w:rsidP="00DB318D">
      <w:pPr>
        <w:pStyle w:val="Heading4"/>
        <w:keepNext w:val="0"/>
        <w:keepLines w:val="0"/>
        <w:rPr>
          <w:rFonts w:eastAsia="Calibri"/>
          <w:lang w:val="en-GB"/>
        </w:rPr>
      </w:pPr>
      <w:bookmarkStart w:id="6" w:name="_Toc419719674"/>
      <w:r w:rsidRPr="00CD60B5">
        <w:rPr>
          <w:rFonts w:eastAsia="Calibri"/>
          <w:lang w:val="en-GB"/>
        </w:rPr>
        <w:t>Option I</w:t>
      </w:r>
      <w:r w:rsidR="00D154DD">
        <w:rPr>
          <w:rFonts w:eastAsia="Calibri"/>
          <w:lang w:val="en-GB"/>
        </w:rPr>
        <w:t xml:space="preserve"> – O</w:t>
      </w:r>
      <w:r w:rsidR="00B257DC" w:rsidRPr="00CD60B5">
        <w:rPr>
          <w:rFonts w:eastAsia="Calibri"/>
          <w:lang w:val="en-GB"/>
        </w:rPr>
        <w:t>ne single law with specific chapter on utilities</w:t>
      </w:r>
      <w:bookmarkEnd w:id="6"/>
    </w:p>
    <w:p w:rsidR="006C4040" w:rsidRPr="00CD60B5" w:rsidRDefault="004C2379"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Only</w:t>
      </w:r>
      <w:r w:rsidR="00395B69" w:rsidRPr="00CD60B5">
        <w:rPr>
          <w:rFonts w:ascii="Calibri" w:eastAsia="Calibri" w:hAnsi="Calibri" w:cs="Calibri"/>
          <w:sz w:val="24"/>
          <w:szCs w:val="20"/>
          <w:lang w:val="en-GB"/>
        </w:rPr>
        <w:t xml:space="preserve"> </w:t>
      </w:r>
      <w:r w:rsidR="00D154DD">
        <w:rPr>
          <w:rFonts w:ascii="Calibri" w:eastAsia="Calibri" w:hAnsi="Calibri" w:cs="Calibri"/>
          <w:sz w:val="24"/>
          <w:szCs w:val="20"/>
          <w:lang w:val="en-GB"/>
        </w:rPr>
        <w:t xml:space="preserve">those </w:t>
      </w:r>
      <w:r w:rsidR="00395B69" w:rsidRPr="00CD60B5">
        <w:rPr>
          <w:rFonts w:ascii="Calibri" w:eastAsia="Calibri" w:hAnsi="Calibri" w:cs="Calibri"/>
          <w:sz w:val="24"/>
          <w:szCs w:val="20"/>
          <w:lang w:val="en-GB"/>
        </w:rPr>
        <w:t>specific</w:t>
      </w:r>
      <w:r w:rsidR="00D154DD">
        <w:rPr>
          <w:rFonts w:ascii="Calibri" w:eastAsia="Calibri" w:hAnsi="Calibri" w:cs="Calibri"/>
          <w:sz w:val="24"/>
          <w:szCs w:val="20"/>
          <w:lang w:val="en-GB"/>
        </w:rPr>
        <w:t xml:space="preserve"> and different</w:t>
      </w:r>
      <w:r w:rsidR="00395B69" w:rsidRPr="00CD60B5">
        <w:rPr>
          <w:rFonts w:ascii="Calibri" w:eastAsia="Calibri" w:hAnsi="Calibri" w:cs="Calibri"/>
          <w:sz w:val="24"/>
          <w:szCs w:val="20"/>
          <w:lang w:val="en-GB"/>
        </w:rPr>
        <w:t xml:space="preserve"> provisions </w:t>
      </w:r>
      <w:r w:rsidR="00D154DD">
        <w:rPr>
          <w:rFonts w:ascii="Calibri" w:eastAsia="Calibri" w:hAnsi="Calibri" w:cs="Calibri"/>
          <w:sz w:val="24"/>
          <w:szCs w:val="20"/>
          <w:lang w:val="en-GB"/>
        </w:rPr>
        <w:t>applicable for</w:t>
      </w:r>
      <w:r w:rsidR="00395B69" w:rsidRPr="00CD60B5">
        <w:rPr>
          <w:rFonts w:ascii="Calibri" w:eastAsia="Calibri" w:hAnsi="Calibri" w:cs="Calibri"/>
          <w:sz w:val="24"/>
          <w:szCs w:val="20"/>
          <w:lang w:val="en-GB"/>
        </w:rPr>
        <w:t xml:space="preserve"> </w:t>
      </w:r>
      <w:r w:rsidRPr="00CD60B5">
        <w:rPr>
          <w:rFonts w:ascii="Calibri" w:eastAsia="Calibri" w:hAnsi="Calibri" w:cs="Calibri"/>
          <w:sz w:val="24"/>
          <w:szCs w:val="20"/>
          <w:lang w:val="en-GB"/>
        </w:rPr>
        <w:t>utilities</w:t>
      </w:r>
      <w:r w:rsidR="00395B69" w:rsidRPr="00CD60B5">
        <w:rPr>
          <w:rFonts w:ascii="Calibri" w:eastAsia="Calibri" w:hAnsi="Calibri" w:cs="Calibri"/>
          <w:sz w:val="24"/>
          <w:szCs w:val="20"/>
          <w:lang w:val="en-GB"/>
        </w:rPr>
        <w:t xml:space="preserve"> contracts are provided in </w:t>
      </w:r>
      <w:r w:rsidRPr="00CD60B5">
        <w:rPr>
          <w:rFonts w:ascii="Calibri" w:eastAsia="Calibri" w:hAnsi="Calibri" w:cs="Calibri"/>
          <w:sz w:val="24"/>
          <w:szCs w:val="20"/>
          <w:lang w:val="en-GB"/>
        </w:rPr>
        <w:t>a designated c</w:t>
      </w:r>
      <w:r w:rsidR="00395B69" w:rsidRPr="00CD60B5">
        <w:rPr>
          <w:rFonts w:ascii="Calibri" w:eastAsia="Calibri" w:hAnsi="Calibri" w:cs="Calibri"/>
          <w:sz w:val="24"/>
          <w:szCs w:val="20"/>
          <w:lang w:val="en-GB"/>
        </w:rPr>
        <w:t>hapter</w:t>
      </w:r>
      <w:r w:rsidRPr="00CD60B5">
        <w:rPr>
          <w:rFonts w:ascii="Calibri" w:eastAsia="Calibri" w:hAnsi="Calibri" w:cs="Calibri"/>
          <w:sz w:val="24"/>
          <w:szCs w:val="20"/>
          <w:lang w:val="en-GB"/>
        </w:rPr>
        <w:t xml:space="preserve"> of the law. This means that the main body of the law implements the provisions of the Public Sector Directive which would </w:t>
      </w:r>
      <w:r w:rsidR="006C4040" w:rsidRPr="00CD60B5">
        <w:rPr>
          <w:rFonts w:ascii="Calibri" w:eastAsia="Calibri" w:hAnsi="Calibri" w:cs="Calibri"/>
          <w:sz w:val="24"/>
          <w:szCs w:val="20"/>
          <w:lang w:val="en-GB"/>
        </w:rPr>
        <w:t xml:space="preserve">also </w:t>
      </w:r>
      <w:r w:rsidRPr="00CD60B5">
        <w:rPr>
          <w:rFonts w:ascii="Calibri" w:eastAsia="Calibri" w:hAnsi="Calibri" w:cs="Calibri"/>
          <w:sz w:val="24"/>
          <w:szCs w:val="20"/>
          <w:lang w:val="en-GB"/>
        </w:rPr>
        <w:t>apply to awarding of contracts in utilities sector</w:t>
      </w:r>
      <w:r w:rsidR="004570F8">
        <w:rPr>
          <w:rFonts w:ascii="Calibri" w:eastAsia="Calibri" w:hAnsi="Calibri" w:cs="Calibri"/>
          <w:sz w:val="24"/>
          <w:szCs w:val="20"/>
          <w:lang w:val="en-GB"/>
        </w:rPr>
        <w:t>,</w:t>
      </w:r>
      <w:r w:rsidRPr="00CD60B5">
        <w:rPr>
          <w:rFonts w:ascii="Calibri" w:eastAsia="Calibri" w:hAnsi="Calibri" w:cs="Calibri"/>
          <w:sz w:val="24"/>
          <w:szCs w:val="20"/>
          <w:lang w:val="en-GB"/>
        </w:rPr>
        <w:t xml:space="preserve"> unless there are specific provision</w:t>
      </w:r>
      <w:r w:rsidR="0040359C" w:rsidRPr="00CD60B5">
        <w:rPr>
          <w:rFonts w:ascii="Calibri" w:eastAsia="Calibri" w:hAnsi="Calibri" w:cs="Calibri"/>
          <w:sz w:val="24"/>
          <w:szCs w:val="20"/>
          <w:lang w:val="en-GB"/>
        </w:rPr>
        <w:t>s</w:t>
      </w:r>
      <w:r w:rsidRPr="00CD60B5">
        <w:rPr>
          <w:rFonts w:ascii="Calibri" w:eastAsia="Calibri" w:hAnsi="Calibri" w:cs="Calibri"/>
          <w:sz w:val="24"/>
          <w:szCs w:val="20"/>
          <w:lang w:val="en-GB"/>
        </w:rPr>
        <w:t xml:space="preserve"> regulating a given utility issue differently.</w:t>
      </w:r>
      <w:r w:rsidRPr="00CD60B5">
        <w:rPr>
          <w:lang w:val="en-GB"/>
        </w:rPr>
        <w:t xml:space="preserve"> </w:t>
      </w:r>
      <w:r w:rsidRPr="00CD60B5">
        <w:rPr>
          <w:rFonts w:ascii="Calibri" w:eastAsia="Calibri" w:hAnsi="Calibri" w:cs="Calibri"/>
          <w:sz w:val="24"/>
          <w:szCs w:val="20"/>
          <w:lang w:val="en-GB"/>
        </w:rPr>
        <w:t>In other words, in case of divergent regulation</w:t>
      </w:r>
      <w:r w:rsidR="00D154DD">
        <w:rPr>
          <w:rFonts w:ascii="Calibri" w:eastAsia="Calibri" w:hAnsi="Calibri" w:cs="Calibri"/>
          <w:sz w:val="24"/>
          <w:szCs w:val="20"/>
          <w:lang w:val="en-GB"/>
        </w:rPr>
        <w:t>,</w:t>
      </w:r>
      <w:r w:rsidRPr="00CD60B5">
        <w:rPr>
          <w:rFonts w:ascii="Calibri" w:eastAsia="Calibri" w:hAnsi="Calibri" w:cs="Calibri"/>
          <w:sz w:val="24"/>
          <w:szCs w:val="20"/>
          <w:lang w:val="en-GB"/>
        </w:rPr>
        <w:t xml:space="preserve"> provisions of specific utility chapter takes precedence over general rules from the main part of the law.</w:t>
      </w:r>
      <w:r w:rsidR="006C4040" w:rsidRPr="00CD60B5">
        <w:rPr>
          <w:rFonts w:ascii="Calibri" w:eastAsia="Calibri" w:hAnsi="Calibri" w:cs="Calibri"/>
          <w:sz w:val="24"/>
          <w:szCs w:val="20"/>
          <w:lang w:val="en-GB"/>
        </w:rPr>
        <w:t xml:space="preserve"> This option is currently used in </w:t>
      </w:r>
      <w:r w:rsidR="004570F8">
        <w:rPr>
          <w:rFonts w:ascii="Calibri" w:eastAsia="Calibri" w:hAnsi="Calibri" w:cs="Calibri"/>
          <w:sz w:val="24"/>
          <w:szCs w:val="20"/>
          <w:lang w:val="en-GB"/>
        </w:rPr>
        <w:t xml:space="preserve">the </w:t>
      </w:r>
      <w:r w:rsidR="006C4040" w:rsidRPr="00CD60B5">
        <w:rPr>
          <w:rFonts w:ascii="Calibri" w:eastAsia="Calibri" w:hAnsi="Calibri" w:cs="Calibri"/>
          <w:sz w:val="24"/>
          <w:szCs w:val="20"/>
          <w:lang w:val="en-GB"/>
        </w:rPr>
        <w:t>Serbian PPL.</w:t>
      </w:r>
    </w:p>
    <w:p w:rsidR="0053473A" w:rsidRPr="00CD60B5" w:rsidRDefault="004C2379"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This method is challenging from the point of view of</w:t>
      </w:r>
      <w:r w:rsidR="006C4040" w:rsidRPr="00CD60B5">
        <w:rPr>
          <w:rFonts w:ascii="Calibri" w:eastAsia="Calibri" w:hAnsi="Calibri" w:cs="Calibri"/>
          <w:sz w:val="24"/>
          <w:szCs w:val="20"/>
          <w:lang w:val="en-GB"/>
        </w:rPr>
        <w:t xml:space="preserve"> proper</w:t>
      </w:r>
      <w:r w:rsidRPr="00CD60B5">
        <w:rPr>
          <w:rFonts w:ascii="Calibri" w:eastAsia="Calibri" w:hAnsi="Calibri" w:cs="Calibri"/>
          <w:sz w:val="24"/>
          <w:szCs w:val="20"/>
          <w:lang w:val="en-GB"/>
        </w:rPr>
        <w:t xml:space="preserve"> drafting because it requires a precise cross-referencing between the two set</w:t>
      </w:r>
      <w:r w:rsidR="009E17E3" w:rsidRPr="00CD60B5">
        <w:rPr>
          <w:rFonts w:ascii="Calibri" w:eastAsia="Calibri" w:hAnsi="Calibri" w:cs="Calibri"/>
          <w:sz w:val="24"/>
          <w:szCs w:val="20"/>
          <w:lang w:val="en-GB"/>
        </w:rPr>
        <w:t>s</w:t>
      </w:r>
      <w:r w:rsidRPr="00CD60B5">
        <w:rPr>
          <w:rFonts w:ascii="Calibri" w:eastAsia="Calibri" w:hAnsi="Calibri" w:cs="Calibri"/>
          <w:sz w:val="24"/>
          <w:szCs w:val="20"/>
          <w:lang w:val="en-GB"/>
        </w:rPr>
        <w:t xml:space="preserve"> of rules. It also </w:t>
      </w:r>
      <w:r w:rsidR="0053473A" w:rsidRPr="00CD60B5">
        <w:rPr>
          <w:rFonts w:ascii="Calibri" w:eastAsia="Calibri" w:hAnsi="Calibri" w:cs="Calibri"/>
          <w:sz w:val="24"/>
          <w:szCs w:val="20"/>
          <w:lang w:val="en-GB"/>
        </w:rPr>
        <w:t>requires</w:t>
      </w:r>
      <w:r w:rsidRPr="00CD60B5">
        <w:rPr>
          <w:rFonts w:ascii="Calibri" w:eastAsia="Calibri" w:hAnsi="Calibri" w:cs="Calibri"/>
          <w:sz w:val="24"/>
          <w:szCs w:val="20"/>
          <w:lang w:val="en-GB"/>
        </w:rPr>
        <w:t xml:space="preserve"> a careful consideration </w:t>
      </w:r>
      <w:r w:rsidRPr="00CD60B5">
        <w:rPr>
          <w:rFonts w:ascii="Calibri" w:eastAsia="Calibri" w:hAnsi="Calibri" w:cs="Calibri"/>
          <w:sz w:val="24"/>
          <w:szCs w:val="20"/>
          <w:lang w:val="en-GB"/>
        </w:rPr>
        <w:lastRenderedPageBreak/>
        <w:t>with regard to certain provisions</w:t>
      </w:r>
      <w:r w:rsidR="0053473A" w:rsidRPr="00CD60B5">
        <w:rPr>
          <w:rFonts w:ascii="Calibri" w:eastAsia="Calibri" w:hAnsi="Calibri" w:cs="Calibri"/>
          <w:sz w:val="24"/>
          <w:szCs w:val="20"/>
          <w:lang w:val="en-GB"/>
        </w:rPr>
        <w:t xml:space="preserve"> to avoid overlapping.</w:t>
      </w:r>
      <w:r w:rsidRPr="00CD60B5">
        <w:rPr>
          <w:rFonts w:ascii="Calibri" w:eastAsia="Calibri" w:hAnsi="Calibri" w:cs="Calibri"/>
          <w:sz w:val="24"/>
          <w:szCs w:val="20"/>
          <w:lang w:val="en-GB"/>
        </w:rPr>
        <w:t xml:space="preserve"> </w:t>
      </w:r>
      <w:r w:rsidR="0053473A" w:rsidRPr="00CD60B5">
        <w:rPr>
          <w:rFonts w:ascii="Calibri" w:eastAsia="Calibri" w:hAnsi="Calibri" w:cs="Calibri"/>
          <w:sz w:val="24"/>
          <w:szCs w:val="20"/>
          <w:lang w:val="en-GB"/>
        </w:rPr>
        <w:t>F</w:t>
      </w:r>
      <w:r w:rsidRPr="00CD60B5">
        <w:rPr>
          <w:rFonts w:ascii="Calibri" w:eastAsia="Calibri" w:hAnsi="Calibri" w:cs="Calibri"/>
          <w:sz w:val="24"/>
          <w:szCs w:val="20"/>
          <w:lang w:val="en-GB"/>
        </w:rPr>
        <w:t>or example</w:t>
      </w:r>
      <w:r w:rsidR="0053473A" w:rsidRPr="00CD60B5">
        <w:rPr>
          <w:rFonts w:ascii="Calibri" w:eastAsia="Calibri" w:hAnsi="Calibri" w:cs="Calibri"/>
          <w:sz w:val="24"/>
          <w:szCs w:val="20"/>
          <w:lang w:val="en-GB"/>
        </w:rPr>
        <w:t>,</w:t>
      </w:r>
      <w:r w:rsidRPr="00CD60B5">
        <w:rPr>
          <w:rFonts w:ascii="Calibri" w:eastAsia="Calibri" w:hAnsi="Calibri" w:cs="Calibri"/>
          <w:sz w:val="24"/>
          <w:szCs w:val="20"/>
          <w:lang w:val="en-GB"/>
        </w:rPr>
        <w:t xml:space="preserve"> </w:t>
      </w:r>
      <w:r w:rsidR="0053473A" w:rsidRPr="00CD60B5">
        <w:rPr>
          <w:rFonts w:ascii="Calibri" w:eastAsia="Calibri" w:hAnsi="Calibri" w:cs="Calibri"/>
          <w:sz w:val="24"/>
          <w:szCs w:val="20"/>
          <w:lang w:val="en-GB"/>
        </w:rPr>
        <w:t xml:space="preserve">some </w:t>
      </w:r>
      <w:r w:rsidRPr="00CD60B5">
        <w:rPr>
          <w:rFonts w:ascii="Calibri" w:eastAsia="Calibri" w:hAnsi="Calibri" w:cs="Calibri"/>
          <w:sz w:val="24"/>
          <w:szCs w:val="20"/>
          <w:lang w:val="en-GB"/>
        </w:rPr>
        <w:t>exclusions fr</w:t>
      </w:r>
      <w:r w:rsidR="00466A2E" w:rsidRPr="00CD60B5">
        <w:rPr>
          <w:rFonts w:ascii="Calibri" w:eastAsia="Calibri" w:hAnsi="Calibri" w:cs="Calibri"/>
          <w:sz w:val="24"/>
          <w:szCs w:val="20"/>
          <w:lang w:val="en-GB"/>
        </w:rPr>
        <w:t>o</w:t>
      </w:r>
      <w:r w:rsidRPr="00CD60B5">
        <w:rPr>
          <w:rFonts w:ascii="Calibri" w:eastAsia="Calibri" w:hAnsi="Calibri" w:cs="Calibri"/>
          <w:sz w:val="24"/>
          <w:szCs w:val="20"/>
          <w:lang w:val="en-GB"/>
        </w:rPr>
        <w:t xml:space="preserve">m the scope of </w:t>
      </w:r>
      <w:r w:rsidR="004570F8">
        <w:rPr>
          <w:rFonts w:ascii="Calibri" w:eastAsia="Calibri" w:hAnsi="Calibri" w:cs="Calibri"/>
          <w:sz w:val="24"/>
          <w:szCs w:val="20"/>
          <w:lang w:val="en-GB"/>
        </w:rPr>
        <w:t xml:space="preserve">the </w:t>
      </w:r>
      <w:r w:rsidR="0053473A" w:rsidRPr="00CD60B5">
        <w:rPr>
          <w:rFonts w:ascii="Calibri" w:eastAsia="Calibri" w:hAnsi="Calibri" w:cs="Calibri"/>
          <w:sz w:val="24"/>
          <w:szCs w:val="20"/>
          <w:lang w:val="en-GB"/>
        </w:rPr>
        <w:t xml:space="preserve">both </w:t>
      </w:r>
      <w:r w:rsidRPr="00CD60B5">
        <w:rPr>
          <w:rFonts w:ascii="Calibri" w:eastAsia="Calibri" w:hAnsi="Calibri" w:cs="Calibri"/>
          <w:sz w:val="24"/>
          <w:szCs w:val="20"/>
          <w:lang w:val="en-GB"/>
        </w:rPr>
        <w:t>Directives</w:t>
      </w:r>
      <w:r w:rsidR="0053473A" w:rsidRPr="00CD60B5">
        <w:rPr>
          <w:rFonts w:ascii="Calibri" w:eastAsia="Calibri" w:hAnsi="Calibri" w:cs="Calibri"/>
          <w:sz w:val="24"/>
          <w:szCs w:val="20"/>
          <w:lang w:val="en-GB"/>
        </w:rPr>
        <w:t xml:space="preserve"> are identical</w:t>
      </w:r>
      <w:r w:rsidR="004570F8">
        <w:rPr>
          <w:rFonts w:ascii="Calibri" w:eastAsia="Calibri" w:hAnsi="Calibri" w:cs="Calibri"/>
          <w:sz w:val="24"/>
          <w:szCs w:val="20"/>
          <w:lang w:val="en-GB"/>
        </w:rPr>
        <w:t>,</w:t>
      </w:r>
      <w:r w:rsidR="0053473A" w:rsidRPr="00CD60B5">
        <w:rPr>
          <w:rFonts w:ascii="Calibri" w:eastAsia="Calibri" w:hAnsi="Calibri" w:cs="Calibri"/>
          <w:sz w:val="24"/>
          <w:szCs w:val="20"/>
          <w:lang w:val="en-GB"/>
        </w:rPr>
        <w:t xml:space="preserve"> but some are specific only for utilities. </w:t>
      </w:r>
      <w:r w:rsidR="006C4040" w:rsidRPr="00CD60B5">
        <w:rPr>
          <w:rFonts w:ascii="Calibri" w:eastAsia="Calibri" w:hAnsi="Calibri" w:cs="Calibri"/>
          <w:sz w:val="24"/>
          <w:szCs w:val="20"/>
          <w:lang w:val="en-GB"/>
        </w:rPr>
        <w:t>With this in mind,</w:t>
      </w:r>
      <w:r w:rsidR="0053473A" w:rsidRPr="00CD60B5">
        <w:rPr>
          <w:rFonts w:ascii="Calibri" w:eastAsia="Calibri" w:hAnsi="Calibri" w:cs="Calibri"/>
          <w:sz w:val="24"/>
          <w:szCs w:val="20"/>
          <w:lang w:val="en-GB"/>
        </w:rPr>
        <w:t xml:space="preserve"> it is important to clearly regulate which exclusions are allowed for which contracts </w:t>
      </w:r>
      <w:r w:rsidR="0040359C" w:rsidRPr="00CD60B5">
        <w:rPr>
          <w:rFonts w:ascii="Calibri" w:eastAsia="Calibri" w:hAnsi="Calibri" w:cs="Calibri"/>
          <w:sz w:val="24"/>
          <w:szCs w:val="20"/>
          <w:lang w:val="en-GB"/>
        </w:rPr>
        <w:t>to</w:t>
      </w:r>
      <w:r w:rsidR="0053473A" w:rsidRPr="00CD60B5">
        <w:rPr>
          <w:rFonts w:ascii="Calibri" w:eastAsia="Calibri" w:hAnsi="Calibri" w:cs="Calibri"/>
          <w:sz w:val="24"/>
          <w:szCs w:val="20"/>
          <w:lang w:val="en-GB"/>
        </w:rPr>
        <w:t xml:space="preserve"> avoid </w:t>
      </w:r>
      <w:r w:rsidR="0040359C" w:rsidRPr="00CD60B5">
        <w:rPr>
          <w:rFonts w:ascii="Calibri" w:eastAsia="Calibri" w:hAnsi="Calibri" w:cs="Calibri"/>
          <w:sz w:val="24"/>
          <w:szCs w:val="20"/>
          <w:lang w:val="en-GB"/>
        </w:rPr>
        <w:t xml:space="preserve">the </w:t>
      </w:r>
      <w:r w:rsidR="0053473A" w:rsidRPr="00CD60B5">
        <w:rPr>
          <w:rFonts w:ascii="Calibri" w:eastAsia="Calibri" w:hAnsi="Calibri" w:cs="Calibri"/>
          <w:sz w:val="24"/>
          <w:szCs w:val="20"/>
          <w:lang w:val="en-GB"/>
        </w:rPr>
        <w:t xml:space="preserve">application of exclusions which would not be available under </w:t>
      </w:r>
      <w:r w:rsidR="00B43465" w:rsidRPr="00CD60B5">
        <w:rPr>
          <w:rFonts w:ascii="Calibri" w:eastAsia="Calibri" w:hAnsi="Calibri" w:cs="Calibri"/>
          <w:sz w:val="24"/>
          <w:szCs w:val="20"/>
          <w:lang w:val="en-GB"/>
        </w:rPr>
        <w:t xml:space="preserve">the </w:t>
      </w:r>
      <w:r w:rsidR="0053473A" w:rsidRPr="00CD60B5">
        <w:rPr>
          <w:rFonts w:ascii="Calibri" w:eastAsia="Calibri" w:hAnsi="Calibri" w:cs="Calibri"/>
          <w:sz w:val="24"/>
          <w:szCs w:val="20"/>
          <w:lang w:val="en-GB"/>
        </w:rPr>
        <w:t>Public Sector Directive.</w:t>
      </w:r>
    </w:p>
    <w:p w:rsidR="005C546A" w:rsidRPr="00CD60B5" w:rsidRDefault="0053473A"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This option has</w:t>
      </w:r>
      <w:r w:rsidR="006C4040" w:rsidRPr="00CD60B5">
        <w:rPr>
          <w:rFonts w:ascii="Calibri" w:eastAsia="Calibri" w:hAnsi="Calibri" w:cs="Calibri"/>
          <w:sz w:val="24"/>
          <w:szCs w:val="20"/>
          <w:lang w:val="en-GB"/>
        </w:rPr>
        <w:t xml:space="preserve"> the</w:t>
      </w:r>
      <w:r w:rsidRPr="00CD60B5">
        <w:rPr>
          <w:rFonts w:ascii="Calibri" w:eastAsia="Calibri" w:hAnsi="Calibri" w:cs="Calibri"/>
          <w:sz w:val="24"/>
          <w:szCs w:val="20"/>
          <w:lang w:val="en-GB"/>
        </w:rPr>
        <w:t xml:space="preserve"> advantages from </w:t>
      </w:r>
      <w:r w:rsidR="00E47426" w:rsidRPr="00CD60B5">
        <w:rPr>
          <w:rFonts w:ascii="Calibri" w:eastAsia="Calibri" w:hAnsi="Calibri" w:cs="Calibri"/>
          <w:sz w:val="24"/>
          <w:szCs w:val="20"/>
          <w:lang w:val="en-GB"/>
        </w:rPr>
        <w:t xml:space="preserve">an </w:t>
      </w:r>
      <w:r w:rsidRPr="00CD60B5">
        <w:rPr>
          <w:rFonts w:ascii="Calibri" w:eastAsia="Calibri" w:hAnsi="Calibri" w:cs="Calibri"/>
          <w:sz w:val="24"/>
          <w:szCs w:val="20"/>
          <w:lang w:val="en-GB"/>
        </w:rPr>
        <w:t xml:space="preserve">administrative capacity point of view because it </w:t>
      </w:r>
      <w:r w:rsidR="00B257DC" w:rsidRPr="00CD60B5">
        <w:rPr>
          <w:rFonts w:ascii="Calibri" w:eastAsia="Calibri" w:hAnsi="Calibri" w:cs="Calibri"/>
          <w:sz w:val="24"/>
          <w:szCs w:val="20"/>
          <w:lang w:val="en-GB"/>
        </w:rPr>
        <w:t>requires</w:t>
      </w:r>
      <w:r w:rsidRPr="00CD60B5">
        <w:rPr>
          <w:rFonts w:ascii="Calibri" w:eastAsia="Calibri" w:hAnsi="Calibri" w:cs="Calibri"/>
          <w:sz w:val="24"/>
          <w:szCs w:val="20"/>
          <w:lang w:val="en-GB"/>
        </w:rPr>
        <w:t xml:space="preserve"> only one </w:t>
      </w:r>
      <w:r w:rsidR="007A2941" w:rsidRPr="00CD60B5">
        <w:rPr>
          <w:rFonts w:ascii="Calibri" w:eastAsia="Calibri" w:hAnsi="Calibri" w:cs="Calibri"/>
          <w:sz w:val="24"/>
          <w:szCs w:val="20"/>
          <w:lang w:val="en-GB"/>
        </w:rPr>
        <w:t xml:space="preserve">public consultation, </w:t>
      </w:r>
      <w:r w:rsidRPr="00CD60B5">
        <w:rPr>
          <w:rFonts w:ascii="Calibri" w:eastAsia="Calibri" w:hAnsi="Calibri" w:cs="Calibri"/>
          <w:sz w:val="24"/>
          <w:szCs w:val="20"/>
          <w:lang w:val="en-GB"/>
        </w:rPr>
        <w:t xml:space="preserve">drafting and adoption </w:t>
      </w:r>
      <w:r w:rsidR="006C4040" w:rsidRPr="00CD60B5">
        <w:rPr>
          <w:rFonts w:ascii="Calibri" w:eastAsia="Calibri" w:hAnsi="Calibri" w:cs="Calibri"/>
          <w:sz w:val="24"/>
          <w:szCs w:val="20"/>
          <w:lang w:val="en-GB"/>
        </w:rPr>
        <w:t>procedure</w:t>
      </w:r>
      <w:r w:rsidR="00B257DC" w:rsidRPr="00CD60B5">
        <w:rPr>
          <w:rFonts w:ascii="Calibri" w:eastAsia="Calibri" w:hAnsi="Calibri" w:cs="Calibri"/>
          <w:sz w:val="24"/>
          <w:szCs w:val="20"/>
          <w:lang w:val="en-GB"/>
        </w:rPr>
        <w:t>. T</w:t>
      </w:r>
      <w:r w:rsidR="006C4040" w:rsidRPr="00CD60B5">
        <w:rPr>
          <w:rFonts w:ascii="Calibri" w:eastAsia="Calibri" w:hAnsi="Calibri" w:cs="Calibri"/>
          <w:sz w:val="24"/>
          <w:szCs w:val="20"/>
          <w:lang w:val="en-GB"/>
        </w:rPr>
        <w:t>herefore,</w:t>
      </w:r>
      <w:r w:rsidRPr="00CD60B5">
        <w:rPr>
          <w:rFonts w:ascii="Calibri" w:eastAsia="Calibri" w:hAnsi="Calibri" w:cs="Calibri"/>
          <w:sz w:val="24"/>
          <w:szCs w:val="20"/>
          <w:lang w:val="en-GB"/>
        </w:rPr>
        <w:t xml:space="preserve"> there are less procedural steps to be undertaken for the adoption of the law. In case of amendments of the law, if required, it is easier to amend one law in one procedure as opposed to two</w:t>
      </w:r>
      <w:r w:rsidR="00C15484">
        <w:rPr>
          <w:rFonts w:ascii="Calibri" w:eastAsia="Calibri" w:hAnsi="Calibri" w:cs="Calibri"/>
          <w:sz w:val="24"/>
          <w:szCs w:val="20"/>
          <w:lang w:val="en-GB"/>
        </w:rPr>
        <w:t xml:space="preserve"> laws</w:t>
      </w:r>
      <w:r w:rsidRPr="00CD60B5">
        <w:rPr>
          <w:rFonts w:ascii="Calibri" w:eastAsia="Calibri" w:hAnsi="Calibri" w:cs="Calibri"/>
          <w:sz w:val="24"/>
          <w:szCs w:val="20"/>
          <w:lang w:val="en-GB"/>
        </w:rPr>
        <w:t>.</w:t>
      </w:r>
      <w:r w:rsidR="005C546A" w:rsidRPr="00CD60B5">
        <w:rPr>
          <w:rFonts w:ascii="Calibri" w:eastAsia="Calibri" w:hAnsi="Calibri" w:cs="Calibri"/>
          <w:sz w:val="24"/>
          <w:szCs w:val="20"/>
          <w:lang w:val="en-GB"/>
        </w:rPr>
        <w:t xml:space="preserve"> </w:t>
      </w:r>
      <w:r w:rsidR="00CA6CE7">
        <w:rPr>
          <w:rFonts w:ascii="Calibri" w:eastAsia="Calibri" w:hAnsi="Calibri" w:cs="Calibri"/>
          <w:sz w:val="24"/>
          <w:szCs w:val="20"/>
          <w:lang w:val="en-GB"/>
        </w:rPr>
        <w:t>Furthermore</w:t>
      </w:r>
      <w:r w:rsidR="005C546A" w:rsidRPr="00CA6CE7">
        <w:rPr>
          <w:rFonts w:ascii="Calibri" w:eastAsia="Calibri" w:hAnsi="Calibri" w:cs="Calibri"/>
          <w:sz w:val="24"/>
          <w:szCs w:val="20"/>
          <w:lang w:val="en-GB"/>
        </w:rPr>
        <w:t xml:space="preserve">, the </w:t>
      </w:r>
      <w:r w:rsidR="00466A2E" w:rsidRPr="00CA6CE7">
        <w:rPr>
          <w:rFonts w:ascii="Calibri" w:eastAsia="Calibri" w:hAnsi="Calibri" w:cs="Calibri"/>
          <w:sz w:val="24"/>
          <w:szCs w:val="20"/>
          <w:lang w:val="en-GB"/>
        </w:rPr>
        <w:t>smaller</w:t>
      </w:r>
      <w:r w:rsidR="0040359C" w:rsidRPr="00CA6CE7">
        <w:rPr>
          <w:rFonts w:ascii="Calibri" w:eastAsia="Calibri" w:hAnsi="Calibri" w:cs="Calibri"/>
          <w:sz w:val="24"/>
          <w:szCs w:val="20"/>
          <w:lang w:val="en-GB"/>
        </w:rPr>
        <w:t xml:space="preserve"> </w:t>
      </w:r>
      <w:r w:rsidR="005C546A" w:rsidRPr="00CA6CE7">
        <w:rPr>
          <w:rFonts w:ascii="Calibri" w:eastAsia="Calibri" w:hAnsi="Calibri" w:cs="Calibri"/>
          <w:sz w:val="24"/>
          <w:szCs w:val="20"/>
          <w:lang w:val="en-GB"/>
        </w:rPr>
        <w:t xml:space="preserve">volume of the law in this case </w:t>
      </w:r>
      <w:r w:rsidR="0040359C" w:rsidRPr="00CD60B5">
        <w:rPr>
          <w:rFonts w:ascii="Calibri" w:eastAsia="Calibri" w:hAnsi="Calibri" w:cs="Calibri"/>
          <w:sz w:val="24"/>
          <w:szCs w:val="20"/>
          <w:lang w:val="en-GB"/>
        </w:rPr>
        <w:t xml:space="preserve">can be perceived as less daunting for users. </w:t>
      </w:r>
      <w:r w:rsidR="005C546A" w:rsidRPr="00CD60B5">
        <w:rPr>
          <w:rFonts w:ascii="Calibri" w:eastAsia="Calibri" w:hAnsi="Calibri" w:cs="Calibri"/>
          <w:sz w:val="24"/>
          <w:szCs w:val="20"/>
          <w:lang w:val="en-GB"/>
        </w:rPr>
        <w:t xml:space="preserve">Another advantage is that in case there is any secondary legislation, there will be one set of secondary legislation adopted pursuant to the law applicable to both public and utilities sector. </w:t>
      </w:r>
    </w:p>
    <w:p w:rsidR="006C4040" w:rsidRPr="00CD60B5" w:rsidRDefault="0053473A"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Negative aspects in this scenario may </w:t>
      </w:r>
      <w:r w:rsidR="00B257DC" w:rsidRPr="00CD60B5">
        <w:rPr>
          <w:rFonts w:ascii="Calibri" w:eastAsia="Calibri" w:hAnsi="Calibri" w:cs="Calibri"/>
          <w:sz w:val="24"/>
          <w:szCs w:val="20"/>
          <w:lang w:val="en-GB"/>
        </w:rPr>
        <w:t xml:space="preserve">occur in </w:t>
      </w:r>
      <w:r w:rsidRPr="00CD60B5">
        <w:rPr>
          <w:rFonts w:ascii="Calibri" w:eastAsia="Calibri" w:hAnsi="Calibri" w:cs="Calibri"/>
          <w:sz w:val="24"/>
          <w:szCs w:val="20"/>
          <w:lang w:val="en-GB"/>
        </w:rPr>
        <w:t xml:space="preserve">implementing the law </w:t>
      </w:r>
      <w:r w:rsidR="00D33ACF" w:rsidRPr="00CD60B5">
        <w:rPr>
          <w:rFonts w:ascii="Calibri" w:eastAsia="Calibri" w:hAnsi="Calibri" w:cs="Calibri"/>
          <w:sz w:val="24"/>
          <w:szCs w:val="20"/>
          <w:lang w:val="en-GB"/>
        </w:rPr>
        <w:t>by</w:t>
      </w:r>
      <w:r w:rsidRPr="00CD60B5">
        <w:rPr>
          <w:rFonts w:ascii="Calibri" w:eastAsia="Calibri" w:hAnsi="Calibri" w:cs="Calibri"/>
          <w:sz w:val="24"/>
          <w:szCs w:val="20"/>
          <w:lang w:val="en-GB"/>
        </w:rPr>
        <w:t xml:space="preserve"> contracting entities</w:t>
      </w:r>
      <w:r w:rsidR="00D33ACF" w:rsidRPr="00CD60B5">
        <w:rPr>
          <w:rFonts w:ascii="Calibri" w:eastAsia="Calibri" w:hAnsi="Calibri" w:cs="Calibri"/>
          <w:sz w:val="24"/>
          <w:szCs w:val="20"/>
          <w:lang w:val="en-GB"/>
        </w:rPr>
        <w:t>. S</w:t>
      </w:r>
      <w:r w:rsidRPr="00CD60B5">
        <w:rPr>
          <w:rFonts w:ascii="Calibri" w:eastAsia="Calibri" w:hAnsi="Calibri" w:cs="Calibri"/>
          <w:sz w:val="24"/>
          <w:szCs w:val="20"/>
          <w:lang w:val="en-GB"/>
        </w:rPr>
        <w:t xml:space="preserve">pecific utilities issues </w:t>
      </w:r>
      <w:r w:rsidR="00D33ACF" w:rsidRPr="00CD60B5">
        <w:rPr>
          <w:rFonts w:ascii="Calibri" w:eastAsia="Calibri" w:hAnsi="Calibri" w:cs="Calibri"/>
          <w:sz w:val="24"/>
          <w:szCs w:val="20"/>
          <w:lang w:val="en-GB"/>
        </w:rPr>
        <w:t xml:space="preserve">could be </w:t>
      </w:r>
      <w:r w:rsidRPr="00CD60B5">
        <w:rPr>
          <w:rFonts w:ascii="Calibri" w:eastAsia="Calibri" w:hAnsi="Calibri" w:cs="Calibri"/>
          <w:sz w:val="24"/>
          <w:szCs w:val="20"/>
          <w:lang w:val="en-GB"/>
        </w:rPr>
        <w:t>“lost in the crowd</w:t>
      </w:r>
      <w:r w:rsidR="00B257DC" w:rsidRPr="00CD60B5">
        <w:rPr>
          <w:rFonts w:ascii="Calibri" w:eastAsia="Calibri" w:hAnsi="Calibri" w:cs="Calibri"/>
          <w:sz w:val="24"/>
          <w:szCs w:val="20"/>
          <w:lang w:val="en-GB"/>
        </w:rPr>
        <w:t xml:space="preserve"> of provisions</w:t>
      </w:r>
      <w:r w:rsidRPr="00CD60B5">
        <w:rPr>
          <w:rFonts w:ascii="Calibri" w:eastAsia="Calibri" w:hAnsi="Calibri" w:cs="Calibri"/>
          <w:sz w:val="24"/>
          <w:szCs w:val="20"/>
          <w:lang w:val="en-GB"/>
        </w:rPr>
        <w:t>”</w:t>
      </w:r>
      <w:r w:rsidR="00B257DC" w:rsidRPr="00CD60B5">
        <w:rPr>
          <w:rFonts w:ascii="Calibri" w:eastAsia="Calibri" w:hAnsi="Calibri" w:cs="Calibri"/>
          <w:sz w:val="24"/>
          <w:szCs w:val="20"/>
          <w:lang w:val="en-GB"/>
        </w:rPr>
        <w:t xml:space="preserve">. This can lead to a situation that </w:t>
      </w:r>
      <w:r w:rsidR="00D33ACF" w:rsidRPr="00CD60B5">
        <w:rPr>
          <w:rFonts w:ascii="Calibri" w:eastAsia="Calibri" w:hAnsi="Calibri" w:cs="Calibri"/>
          <w:sz w:val="24"/>
          <w:szCs w:val="20"/>
          <w:lang w:val="en-GB"/>
        </w:rPr>
        <w:t>flexible</w:t>
      </w:r>
      <w:r w:rsidRPr="00CD60B5">
        <w:rPr>
          <w:rFonts w:ascii="Calibri" w:eastAsia="Calibri" w:hAnsi="Calibri" w:cs="Calibri"/>
          <w:sz w:val="24"/>
          <w:szCs w:val="20"/>
          <w:lang w:val="en-GB"/>
        </w:rPr>
        <w:t xml:space="preserve"> options </w:t>
      </w:r>
      <w:r w:rsidR="00D33ACF" w:rsidRPr="00CD60B5">
        <w:rPr>
          <w:rFonts w:ascii="Calibri" w:eastAsia="Calibri" w:hAnsi="Calibri" w:cs="Calibri"/>
          <w:sz w:val="24"/>
          <w:szCs w:val="20"/>
          <w:lang w:val="en-GB"/>
        </w:rPr>
        <w:t>available to contracting entities will not be</w:t>
      </w:r>
      <w:r w:rsidRPr="00CD60B5">
        <w:rPr>
          <w:rFonts w:ascii="Calibri" w:eastAsia="Calibri" w:hAnsi="Calibri" w:cs="Calibri"/>
          <w:sz w:val="24"/>
          <w:szCs w:val="20"/>
          <w:lang w:val="en-GB"/>
        </w:rPr>
        <w:t xml:space="preserve"> used by </w:t>
      </w:r>
      <w:r w:rsidR="00D33ACF" w:rsidRPr="00CD60B5">
        <w:rPr>
          <w:rFonts w:ascii="Calibri" w:eastAsia="Calibri" w:hAnsi="Calibri" w:cs="Calibri"/>
          <w:sz w:val="24"/>
          <w:szCs w:val="20"/>
          <w:lang w:val="en-GB"/>
        </w:rPr>
        <w:t xml:space="preserve">them. </w:t>
      </w:r>
      <w:r w:rsidR="006C4040" w:rsidRPr="00CD60B5">
        <w:rPr>
          <w:rFonts w:ascii="Calibri" w:eastAsia="Calibri" w:hAnsi="Calibri" w:cs="Calibri"/>
          <w:sz w:val="24"/>
          <w:szCs w:val="20"/>
          <w:lang w:val="en-GB"/>
        </w:rPr>
        <w:t xml:space="preserve">This may </w:t>
      </w:r>
      <w:r w:rsidR="00B257DC" w:rsidRPr="00CD60B5">
        <w:rPr>
          <w:rFonts w:ascii="Calibri" w:eastAsia="Calibri" w:hAnsi="Calibri" w:cs="Calibri"/>
          <w:sz w:val="24"/>
          <w:szCs w:val="20"/>
          <w:lang w:val="en-GB"/>
        </w:rPr>
        <w:t>occur</w:t>
      </w:r>
      <w:r w:rsidR="006C4040" w:rsidRPr="00CD60B5">
        <w:rPr>
          <w:rFonts w:ascii="Calibri" w:eastAsia="Calibri" w:hAnsi="Calibri" w:cs="Calibri"/>
          <w:sz w:val="24"/>
          <w:szCs w:val="20"/>
          <w:lang w:val="en-GB"/>
        </w:rPr>
        <w:t xml:space="preserve"> because the contracting entities need to follow two set of rules - those designed for public sector, and at the same time pay attention and implement those rules </w:t>
      </w:r>
      <w:r w:rsidR="0040359C" w:rsidRPr="00CD60B5">
        <w:rPr>
          <w:rFonts w:ascii="Calibri" w:eastAsia="Calibri" w:hAnsi="Calibri" w:cs="Calibri"/>
          <w:sz w:val="24"/>
          <w:szCs w:val="20"/>
          <w:lang w:val="en-GB"/>
        </w:rPr>
        <w:t xml:space="preserve">specifically </w:t>
      </w:r>
      <w:r w:rsidR="006C4040" w:rsidRPr="00CD60B5">
        <w:rPr>
          <w:rFonts w:ascii="Calibri" w:eastAsia="Calibri" w:hAnsi="Calibri" w:cs="Calibri"/>
          <w:sz w:val="24"/>
          <w:szCs w:val="20"/>
          <w:lang w:val="en-GB"/>
        </w:rPr>
        <w:t>designed for utilities which are applicable only in case they differ from public sector rules.</w:t>
      </w:r>
    </w:p>
    <w:p w:rsidR="006C4040" w:rsidRPr="00CD60B5" w:rsidRDefault="006C4040"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As it can be observed from the practices of countries (mostly in the region) which have opted for this method of transposition of </w:t>
      </w:r>
      <w:r w:rsidR="00624A61" w:rsidRPr="00CD60B5">
        <w:rPr>
          <w:rFonts w:ascii="Calibri" w:eastAsia="Calibri" w:hAnsi="Calibri" w:cs="Calibri"/>
          <w:sz w:val="24"/>
          <w:szCs w:val="20"/>
          <w:lang w:val="en-GB"/>
        </w:rPr>
        <w:t xml:space="preserve">the </w:t>
      </w:r>
      <w:r w:rsidRPr="00CD60B5">
        <w:rPr>
          <w:rFonts w:ascii="Calibri" w:eastAsia="Calibri" w:hAnsi="Calibri" w:cs="Calibri"/>
          <w:sz w:val="24"/>
          <w:szCs w:val="20"/>
          <w:lang w:val="en-GB"/>
        </w:rPr>
        <w:t>Utilities Directive, in most cases the utilities entities behave as public sector purchase</w:t>
      </w:r>
      <w:r w:rsidR="0040359C" w:rsidRPr="00CD60B5">
        <w:rPr>
          <w:rFonts w:ascii="Calibri" w:eastAsia="Calibri" w:hAnsi="Calibri" w:cs="Calibri"/>
          <w:sz w:val="24"/>
          <w:szCs w:val="20"/>
          <w:lang w:val="en-GB"/>
        </w:rPr>
        <w:t>r</w:t>
      </w:r>
      <w:r w:rsidRPr="00CD60B5">
        <w:rPr>
          <w:rFonts w:ascii="Calibri" w:eastAsia="Calibri" w:hAnsi="Calibri" w:cs="Calibri"/>
          <w:sz w:val="24"/>
          <w:szCs w:val="20"/>
          <w:lang w:val="en-GB"/>
        </w:rPr>
        <w:t xml:space="preserve">s. In other words, they do not </w:t>
      </w:r>
      <w:r w:rsidR="00B257DC" w:rsidRPr="00CD60B5">
        <w:rPr>
          <w:rFonts w:ascii="Calibri" w:eastAsia="Calibri" w:hAnsi="Calibri" w:cs="Calibri"/>
          <w:sz w:val="24"/>
          <w:szCs w:val="20"/>
          <w:lang w:val="en-GB"/>
        </w:rPr>
        <w:t xml:space="preserve">take advantage of </w:t>
      </w:r>
      <w:r w:rsidRPr="00CD60B5">
        <w:rPr>
          <w:rFonts w:ascii="Calibri" w:eastAsia="Calibri" w:hAnsi="Calibri" w:cs="Calibri"/>
          <w:sz w:val="24"/>
          <w:szCs w:val="20"/>
          <w:lang w:val="en-GB"/>
        </w:rPr>
        <w:t>more flexible rules available to them under Utilities Directive.</w:t>
      </w:r>
    </w:p>
    <w:p w:rsidR="00395B69" w:rsidRPr="00CD60B5" w:rsidRDefault="00CA6CE7" w:rsidP="00DB318D">
      <w:pPr>
        <w:pStyle w:val="Heading4"/>
        <w:keepNext w:val="0"/>
        <w:keepLines w:val="0"/>
        <w:rPr>
          <w:rFonts w:eastAsia="Calibri"/>
          <w:lang w:val="en-GB"/>
        </w:rPr>
      </w:pPr>
      <w:bookmarkStart w:id="7" w:name="_Toc419719675"/>
      <w:r>
        <w:rPr>
          <w:rFonts w:eastAsia="Calibri"/>
          <w:lang w:val="en-GB"/>
        </w:rPr>
        <w:t>Option II – O</w:t>
      </w:r>
      <w:r w:rsidR="00B257DC" w:rsidRPr="00CD60B5">
        <w:rPr>
          <w:rFonts w:eastAsia="Calibri"/>
          <w:lang w:val="en-GB"/>
        </w:rPr>
        <w:t xml:space="preserve">ne single law transposing both </w:t>
      </w:r>
      <w:r w:rsidR="00C15484">
        <w:rPr>
          <w:rFonts w:eastAsia="Calibri"/>
          <w:lang w:val="en-GB"/>
        </w:rPr>
        <w:t xml:space="preserve">the </w:t>
      </w:r>
      <w:r w:rsidR="00B257DC" w:rsidRPr="00CD60B5">
        <w:rPr>
          <w:rFonts w:eastAsia="Calibri"/>
          <w:lang w:val="en-GB"/>
        </w:rPr>
        <w:t>Public Sector and</w:t>
      </w:r>
      <w:r w:rsidR="00C15484">
        <w:rPr>
          <w:rFonts w:eastAsia="Calibri"/>
          <w:lang w:val="en-GB"/>
        </w:rPr>
        <w:t xml:space="preserve"> the</w:t>
      </w:r>
      <w:r w:rsidR="00B257DC" w:rsidRPr="00CD60B5">
        <w:rPr>
          <w:rFonts w:eastAsia="Calibri"/>
          <w:lang w:val="en-GB"/>
        </w:rPr>
        <w:t xml:space="preserve"> Utilities Directive in a comprehensive manner</w:t>
      </w:r>
      <w:bookmarkEnd w:id="7"/>
    </w:p>
    <w:p w:rsidR="00B475BE" w:rsidRPr="00CD60B5" w:rsidRDefault="00B475BE"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One </w:t>
      </w:r>
      <w:r w:rsidR="00CA6CE7">
        <w:rPr>
          <w:rFonts w:ascii="Calibri" w:eastAsia="Calibri" w:hAnsi="Calibri" w:cs="Calibri"/>
          <w:sz w:val="24"/>
          <w:szCs w:val="20"/>
          <w:lang w:val="en-GB"/>
        </w:rPr>
        <w:t>part</w:t>
      </w:r>
      <w:r w:rsidRPr="00CD60B5">
        <w:rPr>
          <w:rFonts w:ascii="Calibri" w:eastAsia="Calibri" w:hAnsi="Calibri" w:cs="Calibri"/>
          <w:sz w:val="24"/>
          <w:szCs w:val="20"/>
          <w:lang w:val="en-GB"/>
        </w:rPr>
        <w:t xml:space="preserve"> of the law is designated to transpose all provisions from the</w:t>
      </w:r>
      <w:r w:rsidR="00CA6CE7">
        <w:rPr>
          <w:rFonts w:ascii="Calibri" w:eastAsia="Calibri" w:hAnsi="Calibri" w:cs="Calibri"/>
          <w:sz w:val="24"/>
          <w:szCs w:val="20"/>
          <w:lang w:val="en-GB"/>
        </w:rPr>
        <w:t xml:space="preserve"> Public Sector Directive and the other part is </w:t>
      </w:r>
      <w:r w:rsidR="00CA6CE7" w:rsidRPr="00CD60B5">
        <w:rPr>
          <w:rFonts w:ascii="Calibri" w:eastAsia="Calibri" w:hAnsi="Calibri" w:cs="Calibri"/>
          <w:sz w:val="24"/>
          <w:szCs w:val="20"/>
          <w:lang w:val="en-GB"/>
        </w:rPr>
        <w:t>designated to transpose all provisions from the</w:t>
      </w:r>
      <w:r w:rsidRPr="00CD60B5">
        <w:rPr>
          <w:rFonts w:ascii="Calibri" w:eastAsia="Calibri" w:hAnsi="Calibri" w:cs="Calibri"/>
          <w:sz w:val="24"/>
          <w:szCs w:val="20"/>
          <w:lang w:val="en-GB"/>
        </w:rPr>
        <w:t xml:space="preserve"> Utilities Directive. This means that the law implements the provisions of the Public Sector Directive and </w:t>
      </w:r>
      <w:r w:rsidR="00C15484">
        <w:rPr>
          <w:rFonts w:ascii="Calibri" w:eastAsia="Calibri" w:hAnsi="Calibri" w:cs="Calibri"/>
          <w:sz w:val="24"/>
          <w:szCs w:val="20"/>
          <w:lang w:val="en-GB"/>
        </w:rPr>
        <w:t xml:space="preserve">the </w:t>
      </w:r>
      <w:r w:rsidRPr="00CD60B5">
        <w:rPr>
          <w:rFonts w:ascii="Calibri" w:eastAsia="Calibri" w:hAnsi="Calibri" w:cs="Calibri"/>
          <w:sz w:val="24"/>
          <w:szCs w:val="20"/>
          <w:lang w:val="en-GB"/>
        </w:rPr>
        <w:t xml:space="preserve">Utilities Directive in an equivalent manner. In this case it is not only those outstanding </w:t>
      </w:r>
      <w:r w:rsidR="00CA6CE7">
        <w:rPr>
          <w:rFonts w:ascii="Calibri" w:eastAsia="Calibri" w:hAnsi="Calibri" w:cs="Calibri"/>
          <w:sz w:val="24"/>
          <w:szCs w:val="20"/>
          <w:lang w:val="en-GB"/>
        </w:rPr>
        <w:t xml:space="preserve">utilities </w:t>
      </w:r>
      <w:r w:rsidRPr="00CD60B5">
        <w:rPr>
          <w:rFonts w:ascii="Calibri" w:eastAsia="Calibri" w:hAnsi="Calibri" w:cs="Calibri"/>
          <w:sz w:val="24"/>
          <w:szCs w:val="20"/>
          <w:lang w:val="en-GB"/>
        </w:rPr>
        <w:t xml:space="preserve">provisions </w:t>
      </w:r>
      <w:r w:rsidR="00CA6CE7">
        <w:rPr>
          <w:rFonts w:ascii="Calibri" w:eastAsia="Calibri" w:hAnsi="Calibri" w:cs="Calibri"/>
          <w:sz w:val="24"/>
          <w:szCs w:val="20"/>
          <w:lang w:val="en-GB"/>
        </w:rPr>
        <w:t xml:space="preserve">that are regulated </w:t>
      </w:r>
      <w:r w:rsidRPr="00CD60B5">
        <w:rPr>
          <w:rFonts w:ascii="Calibri" w:eastAsia="Calibri" w:hAnsi="Calibri" w:cs="Calibri"/>
          <w:sz w:val="24"/>
          <w:szCs w:val="20"/>
          <w:lang w:val="en-GB"/>
        </w:rPr>
        <w:t>differently in relation to classical sector but the whole Utilities Directive.</w:t>
      </w:r>
      <w:r w:rsidRPr="00CD60B5">
        <w:rPr>
          <w:lang w:val="en-GB"/>
        </w:rPr>
        <w:t xml:space="preserve"> </w:t>
      </w:r>
      <w:r w:rsidRPr="00CD60B5">
        <w:rPr>
          <w:rFonts w:ascii="Calibri" w:eastAsia="Calibri" w:hAnsi="Calibri" w:cs="Calibri"/>
          <w:sz w:val="24"/>
          <w:szCs w:val="20"/>
          <w:lang w:val="en-GB"/>
        </w:rPr>
        <w:t xml:space="preserve">In other words, all provisions dealing with utilities (not only those specific) </w:t>
      </w:r>
      <w:r w:rsidR="00CA6CE7">
        <w:rPr>
          <w:rFonts w:ascii="Calibri" w:eastAsia="Calibri" w:hAnsi="Calibri" w:cs="Calibri"/>
          <w:sz w:val="24"/>
          <w:szCs w:val="20"/>
          <w:lang w:val="en-GB"/>
        </w:rPr>
        <w:t>are</w:t>
      </w:r>
      <w:r w:rsidRPr="00CD60B5">
        <w:rPr>
          <w:rFonts w:ascii="Calibri" w:eastAsia="Calibri" w:hAnsi="Calibri" w:cs="Calibri"/>
          <w:sz w:val="24"/>
          <w:szCs w:val="20"/>
          <w:lang w:val="en-GB"/>
        </w:rPr>
        <w:t xml:space="preserve"> regulated in the law. Practically it would appear there are two laws in one. This option is currently used in Austrian PPL.</w:t>
      </w:r>
    </w:p>
    <w:p w:rsidR="008B69CE" w:rsidRPr="00CD60B5" w:rsidRDefault="00B475BE"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This method is </w:t>
      </w:r>
      <w:r w:rsidR="008B69CE" w:rsidRPr="00CD60B5">
        <w:rPr>
          <w:rFonts w:ascii="Calibri" w:eastAsia="Calibri" w:hAnsi="Calibri" w:cs="Calibri"/>
          <w:sz w:val="24"/>
          <w:szCs w:val="20"/>
          <w:lang w:val="en-GB"/>
        </w:rPr>
        <w:t xml:space="preserve">less </w:t>
      </w:r>
      <w:r w:rsidRPr="00CD60B5">
        <w:rPr>
          <w:rFonts w:ascii="Calibri" w:eastAsia="Calibri" w:hAnsi="Calibri" w:cs="Calibri"/>
          <w:sz w:val="24"/>
          <w:szCs w:val="20"/>
          <w:lang w:val="en-GB"/>
        </w:rPr>
        <w:t xml:space="preserve">challenging from the point of view of proper drafting because it </w:t>
      </w:r>
      <w:r w:rsidR="008B69CE" w:rsidRPr="00CD60B5">
        <w:rPr>
          <w:rFonts w:ascii="Calibri" w:eastAsia="Calibri" w:hAnsi="Calibri" w:cs="Calibri"/>
          <w:sz w:val="24"/>
          <w:szCs w:val="20"/>
          <w:lang w:val="en-GB"/>
        </w:rPr>
        <w:t>does not</w:t>
      </w:r>
      <w:r w:rsidRPr="00CD60B5">
        <w:rPr>
          <w:rFonts w:ascii="Calibri" w:eastAsia="Calibri" w:hAnsi="Calibri" w:cs="Calibri"/>
          <w:sz w:val="24"/>
          <w:szCs w:val="20"/>
          <w:lang w:val="en-GB"/>
        </w:rPr>
        <w:t xml:space="preserve"> require</w:t>
      </w:r>
      <w:r w:rsidR="008B69CE" w:rsidRPr="00CD60B5">
        <w:rPr>
          <w:rFonts w:ascii="Calibri" w:eastAsia="Calibri" w:hAnsi="Calibri" w:cs="Calibri"/>
          <w:sz w:val="24"/>
          <w:szCs w:val="20"/>
          <w:lang w:val="en-GB"/>
        </w:rPr>
        <w:t xml:space="preserve"> </w:t>
      </w:r>
      <w:r w:rsidRPr="00CD60B5">
        <w:rPr>
          <w:rFonts w:ascii="Calibri" w:eastAsia="Calibri" w:hAnsi="Calibri" w:cs="Calibri"/>
          <w:sz w:val="24"/>
          <w:szCs w:val="20"/>
          <w:lang w:val="en-GB"/>
        </w:rPr>
        <w:t>cross-referencing between the two set of rules</w:t>
      </w:r>
      <w:r w:rsidR="008B69CE" w:rsidRPr="00CD60B5">
        <w:rPr>
          <w:rFonts w:ascii="Calibri" w:eastAsia="Calibri" w:hAnsi="Calibri" w:cs="Calibri"/>
          <w:sz w:val="24"/>
          <w:szCs w:val="20"/>
          <w:lang w:val="en-GB"/>
        </w:rPr>
        <w:t xml:space="preserve">, as </w:t>
      </w:r>
      <w:r w:rsidR="00CA6CE7">
        <w:rPr>
          <w:rFonts w:ascii="Calibri" w:eastAsia="Calibri" w:hAnsi="Calibri" w:cs="Calibri"/>
          <w:sz w:val="24"/>
          <w:szCs w:val="20"/>
          <w:lang w:val="en-GB"/>
        </w:rPr>
        <w:t xml:space="preserve">it is the </w:t>
      </w:r>
      <w:r w:rsidR="008B69CE" w:rsidRPr="00CD60B5">
        <w:rPr>
          <w:rFonts w:ascii="Calibri" w:eastAsia="Calibri" w:hAnsi="Calibri" w:cs="Calibri"/>
          <w:sz w:val="24"/>
          <w:szCs w:val="20"/>
          <w:lang w:val="en-GB"/>
        </w:rPr>
        <w:t xml:space="preserve">case </w:t>
      </w:r>
      <w:r w:rsidR="00CA6CE7">
        <w:rPr>
          <w:rFonts w:ascii="Calibri" w:eastAsia="Calibri" w:hAnsi="Calibri" w:cs="Calibri"/>
          <w:sz w:val="24"/>
          <w:szCs w:val="20"/>
          <w:lang w:val="en-GB"/>
        </w:rPr>
        <w:t>under</w:t>
      </w:r>
      <w:r w:rsidR="008B69CE" w:rsidRPr="00CD60B5">
        <w:rPr>
          <w:rFonts w:ascii="Calibri" w:eastAsia="Calibri" w:hAnsi="Calibri" w:cs="Calibri"/>
          <w:sz w:val="24"/>
          <w:szCs w:val="20"/>
          <w:lang w:val="en-GB"/>
        </w:rPr>
        <w:t xml:space="preserve"> Option I. In this scenario issues with regard to overlapping between the two set</w:t>
      </w:r>
      <w:r w:rsidR="00E47426" w:rsidRPr="00CD60B5">
        <w:rPr>
          <w:rFonts w:ascii="Calibri" w:eastAsia="Calibri" w:hAnsi="Calibri" w:cs="Calibri"/>
          <w:sz w:val="24"/>
          <w:szCs w:val="20"/>
          <w:lang w:val="en-GB"/>
        </w:rPr>
        <w:t>s</w:t>
      </w:r>
      <w:r w:rsidR="008B69CE" w:rsidRPr="00CD60B5">
        <w:rPr>
          <w:rFonts w:ascii="Calibri" w:eastAsia="Calibri" w:hAnsi="Calibri" w:cs="Calibri"/>
          <w:sz w:val="24"/>
          <w:szCs w:val="20"/>
          <w:lang w:val="en-GB"/>
        </w:rPr>
        <w:t xml:space="preserve"> of rules are avoided.</w:t>
      </w:r>
      <w:r w:rsidRPr="00CD60B5">
        <w:rPr>
          <w:rFonts w:ascii="Calibri" w:eastAsia="Calibri" w:hAnsi="Calibri" w:cs="Calibri"/>
          <w:sz w:val="24"/>
          <w:szCs w:val="20"/>
          <w:lang w:val="en-GB"/>
        </w:rPr>
        <w:t xml:space="preserve"> </w:t>
      </w:r>
      <w:r w:rsidR="008B69CE" w:rsidRPr="00CD60B5">
        <w:rPr>
          <w:rFonts w:ascii="Calibri" w:eastAsia="Calibri" w:hAnsi="Calibri" w:cs="Calibri"/>
          <w:sz w:val="24"/>
          <w:szCs w:val="20"/>
          <w:lang w:val="en-GB"/>
        </w:rPr>
        <w:t>This is because each chapter of the law deals exclusively and comprehensively with rules applicable to the each of the two regimes.</w:t>
      </w:r>
    </w:p>
    <w:p w:rsidR="008B69CE" w:rsidRPr="00CD60B5" w:rsidRDefault="008B69CE"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As in the case of </w:t>
      </w:r>
      <w:r w:rsidR="00CA6CE7">
        <w:rPr>
          <w:rFonts w:ascii="Calibri" w:eastAsia="Calibri" w:hAnsi="Calibri" w:cs="Calibri"/>
          <w:sz w:val="24"/>
          <w:szCs w:val="20"/>
          <w:lang w:val="en-GB"/>
        </w:rPr>
        <w:t>O</w:t>
      </w:r>
      <w:r w:rsidRPr="00CD60B5">
        <w:rPr>
          <w:rFonts w:ascii="Calibri" w:eastAsia="Calibri" w:hAnsi="Calibri" w:cs="Calibri"/>
          <w:sz w:val="24"/>
          <w:szCs w:val="20"/>
          <w:lang w:val="en-GB"/>
        </w:rPr>
        <w:t>ption I, t</w:t>
      </w:r>
      <w:r w:rsidR="00B475BE" w:rsidRPr="00CD60B5">
        <w:rPr>
          <w:rFonts w:ascii="Calibri" w:eastAsia="Calibri" w:hAnsi="Calibri" w:cs="Calibri"/>
          <w:sz w:val="24"/>
          <w:szCs w:val="20"/>
          <w:lang w:val="en-GB"/>
        </w:rPr>
        <w:t xml:space="preserve">his option has the advantages from the administrative capacity point of view because it requires only one </w:t>
      </w:r>
      <w:r w:rsidR="007A2941" w:rsidRPr="00CD60B5">
        <w:rPr>
          <w:rFonts w:ascii="Calibri" w:eastAsia="Calibri" w:hAnsi="Calibri" w:cs="Calibri"/>
          <w:sz w:val="24"/>
          <w:szCs w:val="20"/>
          <w:lang w:val="en-GB"/>
        </w:rPr>
        <w:t xml:space="preserve">consultation, </w:t>
      </w:r>
      <w:r w:rsidR="00B475BE" w:rsidRPr="00CD60B5">
        <w:rPr>
          <w:rFonts w:ascii="Calibri" w:eastAsia="Calibri" w:hAnsi="Calibri" w:cs="Calibri"/>
          <w:sz w:val="24"/>
          <w:szCs w:val="20"/>
          <w:lang w:val="en-GB"/>
        </w:rPr>
        <w:t>drafting and adoption procedure. Therefore, there are less procedural steps to be undertaken for the adoption of the law. In case of amendments of the law, if required, it is easier to amend one law in one procedure as opposed to two</w:t>
      </w:r>
      <w:r w:rsidR="00BD2949">
        <w:rPr>
          <w:rFonts w:ascii="Calibri" w:eastAsia="Calibri" w:hAnsi="Calibri" w:cs="Calibri"/>
          <w:sz w:val="24"/>
          <w:szCs w:val="20"/>
          <w:lang w:val="en-GB"/>
        </w:rPr>
        <w:t xml:space="preserve"> laws</w:t>
      </w:r>
      <w:r w:rsidR="00B475BE" w:rsidRPr="00CD60B5">
        <w:rPr>
          <w:rFonts w:ascii="Calibri" w:eastAsia="Calibri" w:hAnsi="Calibri" w:cs="Calibri"/>
          <w:sz w:val="24"/>
          <w:szCs w:val="20"/>
          <w:lang w:val="en-GB"/>
        </w:rPr>
        <w:t xml:space="preserve">. </w:t>
      </w:r>
      <w:r w:rsidRPr="00CD60B5">
        <w:rPr>
          <w:rFonts w:ascii="Calibri" w:eastAsia="Calibri" w:hAnsi="Calibri" w:cs="Calibri"/>
          <w:sz w:val="24"/>
          <w:szCs w:val="20"/>
          <w:lang w:val="en-GB"/>
        </w:rPr>
        <w:t>Another advantage is that in case there is any secondary legislation, there is possibility to envisage one set of secondary legislation adopted pursuant to the law applicable to both public and utilities sector.</w:t>
      </w:r>
    </w:p>
    <w:p w:rsidR="008B69CE" w:rsidRPr="00CD60B5" w:rsidRDefault="008B69CE"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lastRenderedPageBreak/>
        <w:t xml:space="preserve">Positive aspects of this option may be envisaged in implementing the law by contracting entities. </w:t>
      </w:r>
      <w:r w:rsidR="00C52CDF" w:rsidRPr="00CD60B5">
        <w:rPr>
          <w:rFonts w:ascii="Calibri" w:eastAsia="Calibri" w:hAnsi="Calibri" w:cs="Calibri"/>
          <w:sz w:val="24"/>
          <w:szCs w:val="20"/>
          <w:lang w:val="en-GB"/>
        </w:rPr>
        <w:t>From their point of view there will be only one comprehensive set of rules to be follo</w:t>
      </w:r>
      <w:r w:rsidR="00CA6CE7">
        <w:rPr>
          <w:rFonts w:ascii="Calibri" w:eastAsia="Calibri" w:hAnsi="Calibri" w:cs="Calibri"/>
          <w:sz w:val="24"/>
          <w:szCs w:val="20"/>
          <w:lang w:val="en-GB"/>
        </w:rPr>
        <w:t>wed and not, as in the case of O</w:t>
      </w:r>
      <w:r w:rsidR="00C52CDF" w:rsidRPr="00CD60B5">
        <w:rPr>
          <w:rFonts w:ascii="Calibri" w:eastAsia="Calibri" w:hAnsi="Calibri" w:cs="Calibri"/>
          <w:sz w:val="24"/>
          <w:szCs w:val="20"/>
          <w:lang w:val="en-GB"/>
        </w:rPr>
        <w:t>ption I</w:t>
      </w:r>
      <w:r w:rsidR="00A65ECF">
        <w:rPr>
          <w:rFonts w:ascii="Calibri" w:eastAsia="Calibri" w:hAnsi="Calibri" w:cs="Calibri"/>
          <w:sz w:val="24"/>
          <w:szCs w:val="20"/>
          <w:lang w:val="en-GB"/>
        </w:rPr>
        <w:t>,</w:t>
      </w:r>
      <w:r w:rsidR="00C52CDF" w:rsidRPr="00CD60B5">
        <w:rPr>
          <w:rFonts w:ascii="Calibri" w:eastAsia="Calibri" w:hAnsi="Calibri" w:cs="Calibri"/>
          <w:sz w:val="24"/>
          <w:szCs w:val="20"/>
          <w:lang w:val="en-GB"/>
        </w:rPr>
        <w:t xml:space="preserve"> only those specific utilities issues. It </w:t>
      </w:r>
      <w:r w:rsidR="00CA6CE7">
        <w:rPr>
          <w:rFonts w:ascii="Calibri" w:eastAsia="Calibri" w:hAnsi="Calibri" w:cs="Calibri"/>
          <w:sz w:val="24"/>
          <w:szCs w:val="20"/>
          <w:lang w:val="en-GB"/>
        </w:rPr>
        <w:t>can</w:t>
      </w:r>
      <w:r w:rsidR="00C52CDF" w:rsidRPr="00CD60B5">
        <w:rPr>
          <w:rFonts w:ascii="Calibri" w:eastAsia="Calibri" w:hAnsi="Calibri" w:cs="Calibri"/>
          <w:sz w:val="24"/>
          <w:szCs w:val="20"/>
          <w:lang w:val="en-GB"/>
        </w:rPr>
        <w:t xml:space="preserve"> also be expected that contracting entities </w:t>
      </w:r>
      <w:r w:rsidR="00CA6CE7">
        <w:rPr>
          <w:rFonts w:ascii="Calibri" w:eastAsia="Calibri" w:hAnsi="Calibri" w:cs="Calibri"/>
          <w:sz w:val="24"/>
          <w:szCs w:val="20"/>
          <w:lang w:val="en-GB"/>
        </w:rPr>
        <w:t xml:space="preserve">would be in a position that better enables them to </w:t>
      </w:r>
      <w:r w:rsidR="00C52CDF" w:rsidRPr="00CD60B5">
        <w:rPr>
          <w:rFonts w:ascii="Calibri" w:eastAsia="Calibri" w:hAnsi="Calibri" w:cs="Calibri"/>
          <w:sz w:val="24"/>
          <w:szCs w:val="20"/>
          <w:lang w:val="en-GB"/>
        </w:rPr>
        <w:t xml:space="preserve">use </w:t>
      </w:r>
      <w:r w:rsidR="00CA6CE7">
        <w:rPr>
          <w:rFonts w:ascii="Calibri" w:eastAsia="Calibri" w:hAnsi="Calibri" w:cs="Calibri"/>
          <w:sz w:val="24"/>
          <w:szCs w:val="20"/>
          <w:lang w:val="en-GB"/>
        </w:rPr>
        <w:t xml:space="preserve">the advantages of </w:t>
      </w:r>
      <w:r w:rsidR="00C52CDF" w:rsidRPr="00CD60B5">
        <w:rPr>
          <w:rFonts w:ascii="Calibri" w:eastAsia="Calibri" w:hAnsi="Calibri" w:cs="Calibri"/>
          <w:sz w:val="24"/>
          <w:szCs w:val="20"/>
          <w:lang w:val="en-GB"/>
        </w:rPr>
        <w:t xml:space="preserve">all </w:t>
      </w:r>
      <w:r w:rsidRPr="00CD60B5">
        <w:rPr>
          <w:rFonts w:ascii="Calibri" w:eastAsia="Calibri" w:hAnsi="Calibri" w:cs="Calibri"/>
          <w:sz w:val="24"/>
          <w:szCs w:val="20"/>
          <w:lang w:val="en-GB"/>
        </w:rPr>
        <w:t xml:space="preserve">flexible options available to </w:t>
      </w:r>
      <w:r w:rsidR="00C52CDF" w:rsidRPr="00CD60B5">
        <w:rPr>
          <w:rFonts w:ascii="Calibri" w:eastAsia="Calibri" w:hAnsi="Calibri" w:cs="Calibri"/>
          <w:sz w:val="24"/>
          <w:szCs w:val="20"/>
          <w:lang w:val="en-GB"/>
        </w:rPr>
        <w:t>them under</w:t>
      </w:r>
      <w:r w:rsidR="00241D98" w:rsidRPr="00CD60B5">
        <w:rPr>
          <w:rFonts w:ascii="Calibri" w:eastAsia="Calibri" w:hAnsi="Calibri" w:cs="Calibri"/>
          <w:sz w:val="24"/>
          <w:szCs w:val="20"/>
          <w:lang w:val="en-GB"/>
        </w:rPr>
        <w:t xml:space="preserve"> the</w:t>
      </w:r>
      <w:r w:rsidR="00C52CDF" w:rsidRPr="00CD60B5">
        <w:rPr>
          <w:rFonts w:ascii="Calibri" w:eastAsia="Calibri" w:hAnsi="Calibri" w:cs="Calibri"/>
          <w:sz w:val="24"/>
          <w:szCs w:val="20"/>
          <w:lang w:val="en-GB"/>
        </w:rPr>
        <w:t xml:space="preserve"> Utilities Directive.</w:t>
      </w:r>
      <w:r w:rsidRPr="00CD60B5">
        <w:rPr>
          <w:rFonts w:ascii="Calibri" w:eastAsia="Calibri" w:hAnsi="Calibri" w:cs="Calibri"/>
          <w:sz w:val="24"/>
          <w:szCs w:val="20"/>
          <w:lang w:val="en-GB"/>
        </w:rPr>
        <w:t xml:space="preserve"> </w:t>
      </w:r>
    </w:p>
    <w:p w:rsidR="00611C7D" w:rsidRPr="00CD60B5" w:rsidRDefault="008B69CE"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However, </w:t>
      </w:r>
      <w:r w:rsidR="00241D98" w:rsidRPr="00CD60B5">
        <w:rPr>
          <w:rFonts w:ascii="Calibri" w:eastAsia="Calibri" w:hAnsi="Calibri" w:cs="Calibri"/>
          <w:sz w:val="24"/>
          <w:szCs w:val="20"/>
          <w:lang w:val="en-GB"/>
        </w:rPr>
        <w:t>a</w:t>
      </w:r>
      <w:r w:rsidR="00B475BE" w:rsidRPr="00CD60B5">
        <w:rPr>
          <w:rFonts w:ascii="Calibri" w:eastAsia="Calibri" w:hAnsi="Calibri" w:cs="Calibri"/>
          <w:sz w:val="24"/>
          <w:szCs w:val="20"/>
          <w:lang w:val="en-GB"/>
        </w:rPr>
        <w:t xml:space="preserve"> volume of the law in this case can be perceived as </w:t>
      </w:r>
      <w:r w:rsidRPr="00CD60B5">
        <w:rPr>
          <w:rFonts w:ascii="Calibri" w:eastAsia="Calibri" w:hAnsi="Calibri" w:cs="Calibri"/>
          <w:sz w:val="24"/>
          <w:szCs w:val="20"/>
          <w:lang w:val="en-GB"/>
        </w:rPr>
        <w:t>deterrent, especially in public consultation and adoption process</w:t>
      </w:r>
      <w:r w:rsidR="00B475BE" w:rsidRPr="00CD60B5">
        <w:rPr>
          <w:rFonts w:ascii="Calibri" w:eastAsia="Calibri" w:hAnsi="Calibri" w:cs="Calibri"/>
          <w:sz w:val="24"/>
          <w:szCs w:val="20"/>
          <w:lang w:val="en-GB"/>
        </w:rPr>
        <w:t xml:space="preserve">. </w:t>
      </w:r>
      <w:r w:rsidR="00C52CDF" w:rsidRPr="00CD60B5">
        <w:rPr>
          <w:rFonts w:ascii="Calibri" w:eastAsia="Calibri" w:hAnsi="Calibri" w:cs="Calibri"/>
          <w:sz w:val="24"/>
          <w:szCs w:val="20"/>
          <w:lang w:val="en-GB"/>
        </w:rPr>
        <w:t xml:space="preserve">Inevitably, because many provisions </w:t>
      </w:r>
      <w:r w:rsidR="00CA6CE7">
        <w:rPr>
          <w:rFonts w:ascii="Calibri" w:eastAsia="Calibri" w:hAnsi="Calibri" w:cs="Calibri"/>
          <w:sz w:val="24"/>
          <w:szCs w:val="20"/>
          <w:lang w:val="en-GB"/>
        </w:rPr>
        <w:t>of</w:t>
      </w:r>
      <w:r w:rsidR="00C52CDF" w:rsidRPr="00CD60B5">
        <w:rPr>
          <w:rFonts w:ascii="Calibri" w:eastAsia="Calibri" w:hAnsi="Calibri" w:cs="Calibri"/>
          <w:sz w:val="24"/>
          <w:szCs w:val="20"/>
          <w:lang w:val="en-GB"/>
        </w:rPr>
        <w:t xml:space="preserve"> the two Directives are very similar or identical, </w:t>
      </w:r>
      <w:r w:rsidR="00695568" w:rsidRPr="00CD60B5">
        <w:rPr>
          <w:rFonts w:ascii="Calibri" w:eastAsia="Calibri" w:hAnsi="Calibri" w:cs="Calibri"/>
          <w:sz w:val="24"/>
          <w:szCs w:val="20"/>
          <w:lang w:val="en-GB"/>
        </w:rPr>
        <w:t xml:space="preserve">an </w:t>
      </w:r>
      <w:r w:rsidR="00C52CDF" w:rsidRPr="00CD60B5">
        <w:rPr>
          <w:rFonts w:ascii="Calibri" w:eastAsia="Calibri" w:hAnsi="Calibri" w:cs="Calibri"/>
          <w:sz w:val="24"/>
          <w:szCs w:val="20"/>
          <w:lang w:val="en-GB"/>
        </w:rPr>
        <w:t xml:space="preserve">exact repetition of the provisions in this scenario cannot be avoided. </w:t>
      </w:r>
      <w:r w:rsidRPr="00CD60B5">
        <w:rPr>
          <w:rFonts w:ascii="Calibri" w:eastAsia="Calibri" w:hAnsi="Calibri" w:cs="Calibri"/>
          <w:sz w:val="24"/>
          <w:szCs w:val="20"/>
          <w:lang w:val="en-GB"/>
        </w:rPr>
        <w:t>It also remains to be answered whether such method would be in line with legal and administrative tradition customary in Serbia.</w:t>
      </w:r>
    </w:p>
    <w:p w:rsidR="00611C7D" w:rsidRPr="00CD60B5" w:rsidRDefault="005C546A" w:rsidP="00DB318D">
      <w:pPr>
        <w:pStyle w:val="Heading4"/>
        <w:keepNext w:val="0"/>
        <w:keepLines w:val="0"/>
        <w:rPr>
          <w:rFonts w:eastAsia="Calibri"/>
          <w:lang w:val="en-GB"/>
        </w:rPr>
      </w:pPr>
      <w:bookmarkStart w:id="8" w:name="_Toc419719676"/>
      <w:r w:rsidRPr="00CD60B5">
        <w:rPr>
          <w:rFonts w:eastAsia="Calibri"/>
          <w:lang w:val="en-GB"/>
        </w:rPr>
        <w:t xml:space="preserve">Option III – </w:t>
      </w:r>
      <w:r w:rsidR="00CA6CE7">
        <w:rPr>
          <w:rFonts w:eastAsia="Calibri"/>
          <w:lang w:val="en-GB"/>
        </w:rPr>
        <w:t>S</w:t>
      </w:r>
      <w:r w:rsidRPr="00CD60B5">
        <w:rPr>
          <w:rFonts w:eastAsia="Calibri"/>
          <w:lang w:val="en-GB"/>
        </w:rPr>
        <w:t>pecial law for utilities sector</w:t>
      </w:r>
      <w:bookmarkEnd w:id="8"/>
    </w:p>
    <w:p w:rsidR="00611C7D" w:rsidRPr="00CD60B5" w:rsidRDefault="00C26D65"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A special law transposing </w:t>
      </w:r>
      <w:r w:rsidR="00695568" w:rsidRPr="00CD60B5">
        <w:rPr>
          <w:rFonts w:ascii="Calibri" w:eastAsia="Calibri" w:hAnsi="Calibri" w:cs="Calibri"/>
          <w:sz w:val="24"/>
          <w:szCs w:val="20"/>
          <w:lang w:val="en-GB"/>
        </w:rPr>
        <w:t xml:space="preserve">the </w:t>
      </w:r>
      <w:r w:rsidRPr="00CD60B5">
        <w:rPr>
          <w:rFonts w:ascii="Calibri" w:eastAsia="Calibri" w:hAnsi="Calibri" w:cs="Calibri"/>
          <w:sz w:val="24"/>
          <w:szCs w:val="20"/>
          <w:lang w:val="en-GB"/>
        </w:rPr>
        <w:t>Utilities Directive is adopted. This means that one law on public procurement in classic</w:t>
      </w:r>
      <w:r w:rsidR="00CA6CE7">
        <w:rPr>
          <w:rFonts w:ascii="Calibri" w:eastAsia="Calibri" w:hAnsi="Calibri" w:cs="Calibri"/>
          <w:sz w:val="24"/>
          <w:szCs w:val="20"/>
          <w:lang w:val="en-GB"/>
        </w:rPr>
        <w:t>al</w:t>
      </w:r>
      <w:r w:rsidRPr="00CD60B5">
        <w:rPr>
          <w:rFonts w:ascii="Calibri" w:eastAsia="Calibri" w:hAnsi="Calibri" w:cs="Calibri"/>
          <w:sz w:val="24"/>
          <w:szCs w:val="20"/>
          <w:lang w:val="en-GB"/>
        </w:rPr>
        <w:t xml:space="preserve"> sector implements the provisions of the Public Sector Directive and the other law on public procurement in utilities sector implements the provisions of </w:t>
      </w:r>
      <w:r w:rsidR="00695568" w:rsidRPr="00CD60B5">
        <w:rPr>
          <w:rFonts w:ascii="Calibri" w:eastAsia="Calibri" w:hAnsi="Calibri" w:cs="Calibri"/>
          <w:sz w:val="24"/>
          <w:szCs w:val="20"/>
          <w:lang w:val="en-GB"/>
        </w:rPr>
        <w:t xml:space="preserve">the </w:t>
      </w:r>
      <w:r w:rsidRPr="00CD60B5">
        <w:rPr>
          <w:rFonts w:ascii="Calibri" w:eastAsia="Calibri" w:hAnsi="Calibri" w:cs="Calibri"/>
          <w:sz w:val="24"/>
          <w:szCs w:val="20"/>
          <w:lang w:val="en-GB"/>
        </w:rPr>
        <w:t>Utilities Directive. This option is similar to Option II but there are two different laws. All provisions dealing with utilities would be regulated in the special law. This option is currently used in Slovenia and United Kingdom.</w:t>
      </w:r>
    </w:p>
    <w:p w:rsidR="00A8339D" w:rsidRDefault="00C26D65"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This method is least challenging from the point of view of drafting because it does not require much cross-referencing between the laws, except </w:t>
      </w:r>
      <w:r w:rsidR="00CA6CE7">
        <w:rPr>
          <w:rFonts w:ascii="Calibri" w:eastAsia="Calibri" w:hAnsi="Calibri" w:cs="Calibri"/>
          <w:sz w:val="24"/>
          <w:szCs w:val="20"/>
          <w:lang w:val="en-GB"/>
        </w:rPr>
        <w:t xml:space="preserve">for cases </w:t>
      </w:r>
      <w:r w:rsidR="00DC7EEE" w:rsidRPr="00CD60B5">
        <w:rPr>
          <w:rFonts w:ascii="Calibri" w:eastAsia="Calibri" w:hAnsi="Calibri" w:cs="Calibri"/>
          <w:sz w:val="24"/>
          <w:szCs w:val="20"/>
          <w:lang w:val="en-GB"/>
        </w:rPr>
        <w:t>where there is cross-referencing between the two Directives</w:t>
      </w:r>
      <w:r w:rsidR="00CA6CE7">
        <w:rPr>
          <w:rFonts w:ascii="Calibri" w:eastAsia="Calibri" w:hAnsi="Calibri" w:cs="Calibri"/>
          <w:sz w:val="24"/>
          <w:szCs w:val="20"/>
          <w:lang w:val="en-GB"/>
        </w:rPr>
        <w:t xml:space="preserve">, for example in cases of mixed </w:t>
      </w:r>
      <w:r w:rsidR="00A8339D">
        <w:rPr>
          <w:rFonts w:ascii="Calibri" w:eastAsia="Calibri" w:hAnsi="Calibri" w:cs="Calibri"/>
          <w:sz w:val="24"/>
          <w:szCs w:val="20"/>
          <w:lang w:val="en-GB"/>
        </w:rPr>
        <w:t>procurement</w:t>
      </w:r>
      <w:r w:rsidR="00CA6CE7">
        <w:rPr>
          <w:rStyle w:val="FootnoteReference"/>
          <w:rFonts w:ascii="Calibri" w:eastAsia="Calibri" w:hAnsi="Calibri" w:cs="Calibri"/>
          <w:sz w:val="24"/>
          <w:szCs w:val="20"/>
          <w:lang w:val="en-GB"/>
        </w:rPr>
        <w:footnoteReference w:id="2"/>
      </w:r>
      <w:r w:rsidRPr="00CD60B5">
        <w:rPr>
          <w:rFonts w:ascii="Calibri" w:eastAsia="Calibri" w:hAnsi="Calibri" w:cs="Calibri"/>
          <w:sz w:val="24"/>
          <w:szCs w:val="20"/>
          <w:lang w:val="en-GB"/>
        </w:rPr>
        <w:t xml:space="preserve">. In this scenario issues with regard to overlapping between the two set of rules are </w:t>
      </w:r>
      <w:r w:rsidR="00DC7EEE" w:rsidRPr="00CD60B5">
        <w:rPr>
          <w:rFonts w:ascii="Calibri" w:eastAsia="Calibri" w:hAnsi="Calibri" w:cs="Calibri"/>
          <w:sz w:val="24"/>
          <w:szCs w:val="20"/>
          <w:lang w:val="en-GB"/>
        </w:rPr>
        <w:t xml:space="preserve">completely </w:t>
      </w:r>
      <w:r w:rsidRPr="00CD60B5">
        <w:rPr>
          <w:rFonts w:ascii="Calibri" w:eastAsia="Calibri" w:hAnsi="Calibri" w:cs="Calibri"/>
          <w:sz w:val="24"/>
          <w:szCs w:val="20"/>
          <w:lang w:val="en-GB"/>
        </w:rPr>
        <w:t>avoided. This is because each law deals exclusively and comprehensively with rules applicable to the each of the two regimes.</w:t>
      </w:r>
    </w:p>
    <w:p w:rsidR="00A8339D" w:rsidRDefault="00DC7EEE"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Unlike in </w:t>
      </w:r>
      <w:r w:rsidR="00A8339D">
        <w:rPr>
          <w:rFonts w:ascii="Calibri" w:eastAsia="Calibri" w:hAnsi="Calibri" w:cs="Calibri"/>
          <w:sz w:val="24"/>
          <w:szCs w:val="20"/>
          <w:lang w:val="en-GB"/>
        </w:rPr>
        <w:t xml:space="preserve">case of </w:t>
      </w:r>
      <w:r w:rsidRPr="00CD60B5">
        <w:rPr>
          <w:rFonts w:ascii="Calibri" w:eastAsia="Calibri" w:hAnsi="Calibri" w:cs="Calibri"/>
          <w:sz w:val="24"/>
          <w:szCs w:val="20"/>
          <w:lang w:val="en-GB"/>
        </w:rPr>
        <w:t>Options I and II</w:t>
      </w:r>
      <w:r w:rsidR="00C26D65" w:rsidRPr="00CD60B5">
        <w:rPr>
          <w:rFonts w:ascii="Calibri" w:eastAsia="Calibri" w:hAnsi="Calibri" w:cs="Calibri"/>
          <w:sz w:val="24"/>
          <w:szCs w:val="20"/>
          <w:lang w:val="en-GB"/>
        </w:rPr>
        <w:t xml:space="preserve">, this option has the </w:t>
      </w:r>
      <w:r w:rsidRPr="00CD60B5">
        <w:rPr>
          <w:rFonts w:ascii="Calibri" w:eastAsia="Calibri" w:hAnsi="Calibri" w:cs="Calibri"/>
          <w:sz w:val="24"/>
          <w:szCs w:val="20"/>
          <w:lang w:val="en-GB"/>
        </w:rPr>
        <w:t>dis</w:t>
      </w:r>
      <w:r w:rsidR="00C26D65" w:rsidRPr="00CD60B5">
        <w:rPr>
          <w:rFonts w:ascii="Calibri" w:eastAsia="Calibri" w:hAnsi="Calibri" w:cs="Calibri"/>
          <w:sz w:val="24"/>
          <w:szCs w:val="20"/>
          <w:lang w:val="en-GB"/>
        </w:rPr>
        <w:t xml:space="preserve">advantages from the administrative capacity point of view because it requires </w:t>
      </w:r>
      <w:r w:rsidR="007A2941" w:rsidRPr="00CD60B5">
        <w:rPr>
          <w:rFonts w:ascii="Calibri" w:eastAsia="Calibri" w:hAnsi="Calibri" w:cs="Calibri"/>
          <w:sz w:val="24"/>
          <w:szCs w:val="20"/>
          <w:lang w:val="en-GB"/>
        </w:rPr>
        <w:t xml:space="preserve">two public consultations, </w:t>
      </w:r>
      <w:r w:rsidR="00C26D65" w:rsidRPr="00CD60B5">
        <w:rPr>
          <w:rFonts w:ascii="Calibri" w:eastAsia="Calibri" w:hAnsi="Calibri" w:cs="Calibri"/>
          <w:sz w:val="24"/>
          <w:szCs w:val="20"/>
          <w:lang w:val="en-GB"/>
        </w:rPr>
        <w:t>drafting and adoption procedure</w:t>
      </w:r>
      <w:r w:rsidR="007A2941" w:rsidRPr="00CD60B5">
        <w:rPr>
          <w:rFonts w:ascii="Calibri" w:eastAsia="Calibri" w:hAnsi="Calibri" w:cs="Calibri"/>
          <w:sz w:val="24"/>
          <w:szCs w:val="20"/>
          <w:lang w:val="en-GB"/>
        </w:rPr>
        <w:t>s</w:t>
      </w:r>
      <w:r w:rsidR="00C26D65" w:rsidRPr="00CD60B5">
        <w:rPr>
          <w:rFonts w:ascii="Calibri" w:eastAsia="Calibri" w:hAnsi="Calibri" w:cs="Calibri"/>
          <w:sz w:val="24"/>
          <w:szCs w:val="20"/>
          <w:lang w:val="en-GB"/>
        </w:rPr>
        <w:t xml:space="preserve">. Therefore, there are </w:t>
      </w:r>
      <w:r w:rsidR="007A2941" w:rsidRPr="00CD60B5">
        <w:rPr>
          <w:rFonts w:ascii="Calibri" w:eastAsia="Calibri" w:hAnsi="Calibri" w:cs="Calibri"/>
          <w:sz w:val="24"/>
          <w:szCs w:val="20"/>
          <w:lang w:val="en-GB"/>
        </w:rPr>
        <w:t>more</w:t>
      </w:r>
      <w:r w:rsidR="00C26D65" w:rsidRPr="00CD60B5">
        <w:rPr>
          <w:rFonts w:ascii="Calibri" w:eastAsia="Calibri" w:hAnsi="Calibri" w:cs="Calibri"/>
          <w:sz w:val="24"/>
          <w:szCs w:val="20"/>
          <w:lang w:val="en-GB"/>
        </w:rPr>
        <w:t xml:space="preserve"> procedural steps to be undertaken for the adoption of the law</w:t>
      </w:r>
      <w:r w:rsidR="007A2941" w:rsidRPr="00CD60B5">
        <w:rPr>
          <w:rFonts w:ascii="Calibri" w:eastAsia="Calibri" w:hAnsi="Calibri" w:cs="Calibri"/>
          <w:sz w:val="24"/>
          <w:szCs w:val="20"/>
          <w:lang w:val="en-GB"/>
        </w:rPr>
        <w:t xml:space="preserve"> which can be demanding</w:t>
      </w:r>
      <w:r w:rsidR="00C26D65" w:rsidRPr="00CD60B5">
        <w:rPr>
          <w:rFonts w:ascii="Calibri" w:eastAsia="Calibri" w:hAnsi="Calibri" w:cs="Calibri"/>
          <w:sz w:val="24"/>
          <w:szCs w:val="20"/>
          <w:lang w:val="en-GB"/>
        </w:rPr>
        <w:t>. In case of amendments of the law, if required</w:t>
      </w:r>
      <w:r w:rsidR="007A2941" w:rsidRPr="00CD60B5">
        <w:rPr>
          <w:rFonts w:ascii="Calibri" w:eastAsia="Calibri" w:hAnsi="Calibri" w:cs="Calibri"/>
          <w:sz w:val="24"/>
          <w:szCs w:val="20"/>
          <w:lang w:val="en-GB"/>
        </w:rPr>
        <w:t xml:space="preserve"> for example due to a systematic problem</w:t>
      </w:r>
      <w:r w:rsidR="00B66A01" w:rsidRPr="00CD60B5">
        <w:rPr>
          <w:rFonts w:ascii="Calibri" w:eastAsia="Calibri" w:hAnsi="Calibri" w:cs="Calibri"/>
          <w:sz w:val="24"/>
          <w:szCs w:val="20"/>
          <w:lang w:val="en-GB"/>
        </w:rPr>
        <w:t>,</w:t>
      </w:r>
      <w:r w:rsidR="00C26D65" w:rsidRPr="00CD60B5">
        <w:rPr>
          <w:rFonts w:ascii="Calibri" w:eastAsia="Calibri" w:hAnsi="Calibri" w:cs="Calibri"/>
          <w:sz w:val="24"/>
          <w:szCs w:val="20"/>
          <w:lang w:val="en-GB"/>
        </w:rPr>
        <w:t xml:space="preserve"> </w:t>
      </w:r>
      <w:r w:rsidR="007A2941" w:rsidRPr="00CD60B5">
        <w:rPr>
          <w:rFonts w:ascii="Calibri" w:eastAsia="Calibri" w:hAnsi="Calibri" w:cs="Calibri"/>
          <w:sz w:val="24"/>
          <w:szCs w:val="20"/>
          <w:lang w:val="en-GB"/>
        </w:rPr>
        <w:t xml:space="preserve">there will be need to </w:t>
      </w:r>
      <w:r w:rsidR="00C26D65" w:rsidRPr="00CD60B5">
        <w:rPr>
          <w:rFonts w:ascii="Calibri" w:eastAsia="Calibri" w:hAnsi="Calibri" w:cs="Calibri"/>
          <w:sz w:val="24"/>
          <w:szCs w:val="20"/>
          <w:lang w:val="en-GB"/>
        </w:rPr>
        <w:t>amend two</w:t>
      </w:r>
      <w:r w:rsidR="007A2941" w:rsidRPr="00CD60B5">
        <w:rPr>
          <w:rFonts w:ascii="Calibri" w:eastAsia="Calibri" w:hAnsi="Calibri" w:cs="Calibri"/>
          <w:sz w:val="24"/>
          <w:szCs w:val="20"/>
          <w:lang w:val="en-GB"/>
        </w:rPr>
        <w:t xml:space="preserve"> laws at the same time</w:t>
      </w:r>
      <w:r w:rsidR="00C26D65" w:rsidRPr="00CD60B5">
        <w:rPr>
          <w:rFonts w:ascii="Calibri" w:eastAsia="Calibri" w:hAnsi="Calibri" w:cs="Calibri"/>
          <w:sz w:val="24"/>
          <w:szCs w:val="20"/>
          <w:lang w:val="en-GB"/>
        </w:rPr>
        <w:t xml:space="preserve">. Another </w:t>
      </w:r>
      <w:r w:rsidR="007A2941" w:rsidRPr="00CD60B5">
        <w:rPr>
          <w:rFonts w:ascii="Calibri" w:eastAsia="Calibri" w:hAnsi="Calibri" w:cs="Calibri"/>
          <w:sz w:val="24"/>
          <w:szCs w:val="20"/>
          <w:lang w:val="en-GB"/>
        </w:rPr>
        <w:t>dis</w:t>
      </w:r>
      <w:r w:rsidR="00C26D65" w:rsidRPr="00CD60B5">
        <w:rPr>
          <w:rFonts w:ascii="Calibri" w:eastAsia="Calibri" w:hAnsi="Calibri" w:cs="Calibri"/>
          <w:sz w:val="24"/>
          <w:szCs w:val="20"/>
          <w:lang w:val="en-GB"/>
        </w:rPr>
        <w:t>advantage is that in case there is any secondary legislation</w:t>
      </w:r>
      <w:r w:rsidR="007A2941" w:rsidRPr="00CD60B5">
        <w:rPr>
          <w:rFonts w:ascii="Calibri" w:eastAsia="Calibri" w:hAnsi="Calibri" w:cs="Calibri"/>
          <w:sz w:val="24"/>
          <w:szCs w:val="20"/>
          <w:lang w:val="en-GB"/>
        </w:rPr>
        <w:t xml:space="preserve"> pursuant to the laws</w:t>
      </w:r>
      <w:r w:rsidR="00C26D65" w:rsidRPr="00CD60B5">
        <w:rPr>
          <w:rFonts w:ascii="Calibri" w:eastAsia="Calibri" w:hAnsi="Calibri" w:cs="Calibri"/>
          <w:sz w:val="24"/>
          <w:szCs w:val="20"/>
          <w:lang w:val="en-GB"/>
        </w:rPr>
        <w:t xml:space="preserve">, </w:t>
      </w:r>
      <w:r w:rsidR="007A2941" w:rsidRPr="00CD60B5">
        <w:rPr>
          <w:rFonts w:ascii="Calibri" w:eastAsia="Calibri" w:hAnsi="Calibri" w:cs="Calibri"/>
          <w:sz w:val="24"/>
          <w:szCs w:val="20"/>
          <w:lang w:val="en-GB"/>
        </w:rPr>
        <w:t xml:space="preserve">it is questionable from the legal tradition point of view whether </w:t>
      </w:r>
      <w:r w:rsidR="00C26D65" w:rsidRPr="00CD60B5">
        <w:rPr>
          <w:rFonts w:ascii="Calibri" w:eastAsia="Calibri" w:hAnsi="Calibri" w:cs="Calibri"/>
          <w:sz w:val="24"/>
          <w:szCs w:val="20"/>
          <w:lang w:val="en-GB"/>
        </w:rPr>
        <w:t xml:space="preserve">there is possibility to envisage one set of secondary legislation adopted pursuant to the </w:t>
      </w:r>
      <w:r w:rsidR="007A2941" w:rsidRPr="00CD60B5">
        <w:rPr>
          <w:rFonts w:ascii="Calibri" w:eastAsia="Calibri" w:hAnsi="Calibri" w:cs="Calibri"/>
          <w:sz w:val="24"/>
          <w:szCs w:val="20"/>
          <w:lang w:val="en-GB"/>
        </w:rPr>
        <w:t xml:space="preserve">both </w:t>
      </w:r>
      <w:r w:rsidR="00C26D65" w:rsidRPr="00CD60B5">
        <w:rPr>
          <w:rFonts w:ascii="Calibri" w:eastAsia="Calibri" w:hAnsi="Calibri" w:cs="Calibri"/>
          <w:sz w:val="24"/>
          <w:szCs w:val="20"/>
          <w:lang w:val="en-GB"/>
        </w:rPr>
        <w:t>law</w:t>
      </w:r>
      <w:r w:rsidR="007A2941" w:rsidRPr="00CD60B5">
        <w:rPr>
          <w:rFonts w:ascii="Calibri" w:eastAsia="Calibri" w:hAnsi="Calibri" w:cs="Calibri"/>
          <w:sz w:val="24"/>
          <w:szCs w:val="20"/>
          <w:lang w:val="en-GB"/>
        </w:rPr>
        <w:t>s</w:t>
      </w:r>
      <w:r w:rsidR="00C26D65" w:rsidRPr="00CD60B5">
        <w:rPr>
          <w:rFonts w:ascii="Calibri" w:eastAsia="Calibri" w:hAnsi="Calibri" w:cs="Calibri"/>
          <w:sz w:val="24"/>
          <w:szCs w:val="20"/>
          <w:lang w:val="en-GB"/>
        </w:rPr>
        <w:t>.</w:t>
      </w:r>
    </w:p>
    <w:p w:rsidR="00A8339D" w:rsidRDefault="00C26D65"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Positive aspects of this option may be envisaged in implementing </w:t>
      </w:r>
      <w:r w:rsidR="00A8339D">
        <w:rPr>
          <w:rFonts w:ascii="Calibri" w:eastAsia="Calibri" w:hAnsi="Calibri" w:cs="Calibri"/>
          <w:sz w:val="24"/>
          <w:szCs w:val="20"/>
          <w:lang w:val="en-GB"/>
        </w:rPr>
        <w:t>level of the legislation</w:t>
      </w:r>
      <w:r w:rsidRPr="00CD60B5">
        <w:rPr>
          <w:rFonts w:ascii="Calibri" w:eastAsia="Calibri" w:hAnsi="Calibri" w:cs="Calibri"/>
          <w:sz w:val="24"/>
          <w:szCs w:val="20"/>
          <w:lang w:val="en-GB"/>
        </w:rPr>
        <w:t xml:space="preserve"> by contracting </w:t>
      </w:r>
      <w:r w:rsidR="007A2941" w:rsidRPr="00CD60B5">
        <w:rPr>
          <w:rFonts w:ascii="Calibri" w:eastAsia="Calibri" w:hAnsi="Calibri" w:cs="Calibri"/>
          <w:sz w:val="24"/>
          <w:szCs w:val="20"/>
          <w:lang w:val="en-GB"/>
        </w:rPr>
        <w:t xml:space="preserve">authorities and </w:t>
      </w:r>
      <w:r w:rsidRPr="00CD60B5">
        <w:rPr>
          <w:rFonts w:ascii="Calibri" w:eastAsia="Calibri" w:hAnsi="Calibri" w:cs="Calibri"/>
          <w:sz w:val="24"/>
          <w:szCs w:val="20"/>
          <w:lang w:val="en-GB"/>
        </w:rPr>
        <w:t>ent</w:t>
      </w:r>
      <w:r w:rsidR="007A2941" w:rsidRPr="00CD60B5">
        <w:rPr>
          <w:rFonts w:ascii="Calibri" w:eastAsia="Calibri" w:hAnsi="Calibri" w:cs="Calibri"/>
          <w:sz w:val="24"/>
          <w:szCs w:val="20"/>
          <w:lang w:val="en-GB"/>
        </w:rPr>
        <w:t>ities. T</w:t>
      </w:r>
      <w:r w:rsidRPr="00CD60B5">
        <w:rPr>
          <w:rFonts w:ascii="Calibri" w:eastAsia="Calibri" w:hAnsi="Calibri" w:cs="Calibri"/>
          <w:sz w:val="24"/>
          <w:szCs w:val="20"/>
          <w:lang w:val="en-GB"/>
        </w:rPr>
        <w:t>he</w:t>
      </w:r>
      <w:r w:rsidR="007A2941" w:rsidRPr="00CD60B5">
        <w:rPr>
          <w:rFonts w:ascii="Calibri" w:eastAsia="Calibri" w:hAnsi="Calibri" w:cs="Calibri"/>
          <w:sz w:val="24"/>
          <w:szCs w:val="20"/>
          <w:lang w:val="en-GB"/>
        </w:rPr>
        <w:t>y</w:t>
      </w:r>
      <w:r w:rsidRPr="00CD60B5">
        <w:rPr>
          <w:rFonts w:ascii="Calibri" w:eastAsia="Calibri" w:hAnsi="Calibri" w:cs="Calibri"/>
          <w:sz w:val="24"/>
          <w:szCs w:val="20"/>
          <w:lang w:val="en-GB"/>
        </w:rPr>
        <w:t xml:space="preserve"> will</w:t>
      </w:r>
      <w:r w:rsidR="007A2941" w:rsidRPr="00CD60B5">
        <w:rPr>
          <w:rFonts w:ascii="Calibri" w:eastAsia="Calibri" w:hAnsi="Calibri" w:cs="Calibri"/>
          <w:sz w:val="24"/>
          <w:szCs w:val="20"/>
          <w:lang w:val="en-GB"/>
        </w:rPr>
        <w:t xml:space="preserve"> apply only one law, either for public sector or utilities sector, as the case may be.</w:t>
      </w:r>
      <w:r w:rsidRPr="00CD60B5">
        <w:rPr>
          <w:rFonts w:ascii="Calibri" w:eastAsia="Calibri" w:hAnsi="Calibri" w:cs="Calibri"/>
          <w:sz w:val="24"/>
          <w:szCs w:val="20"/>
          <w:lang w:val="en-GB"/>
        </w:rPr>
        <w:t xml:space="preserve"> </w:t>
      </w:r>
      <w:r w:rsidR="007A2941" w:rsidRPr="00CD60B5">
        <w:rPr>
          <w:rFonts w:ascii="Calibri" w:eastAsia="Calibri" w:hAnsi="Calibri" w:cs="Calibri"/>
          <w:sz w:val="24"/>
          <w:szCs w:val="20"/>
          <w:lang w:val="en-GB"/>
        </w:rPr>
        <w:t xml:space="preserve">This option may therefore be beneficial for </w:t>
      </w:r>
      <w:r w:rsidRPr="00CD60B5">
        <w:rPr>
          <w:rFonts w:ascii="Calibri" w:eastAsia="Calibri" w:hAnsi="Calibri" w:cs="Calibri"/>
          <w:sz w:val="24"/>
          <w:szCs w:val="20"/>
          <w:lang w:val="en-GB"/>
        </w:rPr>
        <w:t xml:space="preserve">contracting entities </w:t>
      </w:r>
      <w:r w:rsidR="007A2941" w:rsidRPr="00CD60B5">
        <w:rPr>
          <w:rFonts w:ascii="Calibri" w:eastAsia="Calibri" w:hAnsi="Calibri" w:cs="Calibri"/>
          <w:sz w:val="24"/>
          <w:szCs w:val="20"/>
          <w:lang w:val="en-GB"/>
        </w:rPr>
        <w:t xml:space="preserve">as they will be in clear position with regard to possibility to use </w:t>
      </w:r>
      <w:r w:rsidR="00A8339D">
        <w:rPr>
          <w:rFonts w:ascii="Calibri" w:eastAsia="Calibri" w:hAnsi="Calibri" w:cs="Calibri"/>
          <w:sz w:val="24"/>
          <w:szCs w:val="20"/>
          <w:lang w:val="en-GB"/>
        </w:rPr>
        <w:t xml:space="preserve">take advantage of </w:t>
      </w:r>
      <w:r w:rsidRPr="00CD60B5">
        <w:rPr>
          <w:rFonts w:ascii="Calibri" w:eastAsia="Calibri" w:hAnsi="Calibri" w:cs="Calibri"/>
          <w:sz w:val="24"/>
          <w:szCs w:val="20"/>
          <w:lang w:val="en-GB"/>
        </w:rPr>
        <w:t xml:space="preserve">all flexible options available to them under </w:t>
      </w:r>
      <w:r w:rsidR="00B66A01" w:rsidRPr="00CD60B5">
        <w:rPr>
          <w:rFonts w:ascii="Calibri" w:eastAsia="Calibri" w:hAnsi="Calibri" w:cs="Calibri"/>
          <w:sz w:val="24"/>
          <w:szCs w:val="20"/>
          <w:lang w:val="en-GB"/>
        </w:rPr>
        <w:t xml:space="preserve">the </w:t>
      </w:r>
      <w:r w:rsidRPr="00CD60B5">
        <w:rPr>
          <w:rFonts w:ascii="Calibri" w:eastAsia="Calibri" w:hAnsi="Calibri" w:cs="Calibri"/>
          <w:sz w:val="24"/>
          <w:szCs w:val="20"/>
          <w:lang w:val="en-GB"/>
        </w:rPr>
        <w:t xml:space="preserve">Utilities Directive. </w:t>
      </w:r>
      <w:r w:rsidR="007A2941" w:rsidRPr="00CD60B5">
        <w:rPr>
          <w:rFonts w:ascii="Calibri" w:eastAsia="Calibri" w:hAnsi="Calibri" w:cs="Calibri"/>
          <w:sz w:val="24"/>
          <w:szCs w:val="20"/>
          <w:lang w:val="en-GB"/>
        </w:rPr>
        <w:t>There will be clear understanding what rules are applicable because they will be clearly regulated in a special law on utilities procurement.</w:t>
      </w:r>
    </w:p>
    <w:p w:rsidR="00A8339D" w:rsidRDefault="00C26D65"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Inevitably, because many provisions from the two Directives are very similar or identical, the exact repetition of </w:t>
      </w:r>
      <w:r w:rsidR="00FA5964" w:rsidRPr="00CD60B5">
        <w:rPr>
          <w:rFonts w:ascii="Calibri" w:eastAsia="Calibri" w:hAnsi="Calibri" w:cs="Calibri"/>
          <w:sz w:val="24"/>
          <w:szCs w:val="20"/>
          <w:lang w:val="en-GB"/>
        </w:rPr>
        <w:t xml:space="preserve">many </w:t>
      </w:r>
      <w:r w:rsidRPr="00CD60B5">
        <w:rPr>
          <w:rFonts w:ascii="Calibri" w:eastAsia="Calibri" w:hAnsi="Calibri" w:cs="Calibri"/>
          <w:sz w:val="24"/>
          <w:szCs w:val="20"/>
          <w:lang w:val="en-GB"/>
        </w:rPr>
        <w:t xml:space="preserve">provisions in </w:t>
      </w:r>
      <w:r w:rsidR="00FA5964" w:rsidRPr="00CD60B5">
        <w:rPr>
          <w:rFonts w:ascii="Calibri" w:eastAsia="Calibri" w:hAnsi="Calibri" w:cs="Calibri"/>
          <w:sz w:val="24"/>
          <w:szCs w:val="20"/>
          <w:lang w:val="en-GB"/>
        </w:rPr>
        <w:t xml:space="preserve">two laws </w:t>
      </w:r>
      <w:r w:rsidRPr="00CD60B5">
        <w:rPr>
          <w:rFonts w:ascii="Calibri" w:eastAsia="Calibri" w:hAnsi="Calibri" w:cs="Calibri"/>
          <w:sz w:val="24"/>
          <w:szCs w:val="20"/>
          <w:lang w:val="en-GB"/>
        </w:rPr>
        <w:t xml:space="preserve">cannot be avoided. </w:t>
      </w:r>
      <w:r w:rsidR="00FA5964" w:rsidRPr="00CD60B5">
        <w:rPr>
          <w:rFonts w:ascii="Calibri" w:eastAsia="Calibri" w:hAnsi="Calibri" w:cs="Calibri"/>
          <w:sz w:val="24"/>
          <w:szCs w:val="20"/>
          <w:lang w:val="en-GB"/>
        </w:rPr>
        <w:t xml:space="preserve">This might be negatively perceived in public consultation and adoption process in the sense that the rules from either of the two laws are redundant, where in reality they </w:t>
      </w:r>
      <w:r w:rsidR="00A8339D" w:rsidRPr="00CD60B5">
        <w:rPr>
          <w:rFonts w:ascii="Calibri" w:eastAsia="Calibri" w:hAnsi="Calibri" w:cs="Calibri"/>
          <w:sz w:val="24"/>
          <w:szCs w:val="20"/>
          <w:lang w:val="en-GB"/>
        </w:rPr>
        <w:t>are not</w:t>
      </w:r>
      <w:r w:rsidR="00FA5964" w:rsidRPr="00CD60B5">
        <w:rPr>
          <w:rFonts w:ascii="Calibri" w:eastAsia="Calibri" w:hAnsi="Calibri" w:cs="Calibri"/>
          <w:sz w:val="24"/>
          <w:szCs w:val="20"/>
          <w:lang w:val="en-GB"/>
        </w:rPr>
        <w:t>.</w:t>
      </w:r>
    </w:p>
    <w:p w:rsidR="00A8339D" w:rsidRDefault="00C26D65"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It also remains to be answered whether such method would be in line with legal and administrative tradition customary in Serbia.</w:t>
      </w:r>
    </w:p>
    <w:p w:rsidR="00A8339D" w:rsidRDefault="00B27902" w:rsidP="00DB318D">
      <w:pPr>
        <w:pStyle w:val="Heading4"/>
        <w:keepNext w:val="0"/>
        <w:keepLines w:val="0"/>
        <w:rPr>
          <w:rFonts w:eastAsia="Calibri"/>
          <w:lang w:val="en-GB"/>
        </w:rPr>
      </w:pPr>
      <w:bookmarkStart w:id="9" w:name="_Toc419719677"/>
      <w:r w:rsidRPr="00B27902">
        <w:rPr>
          <w:rFonts w:eastAsia="Calibri"/>
          <w:lang w:val="en-GB"/>
        </w:rPr>
        <w:lastRenderedPageBreak/>
        <w:t>Option I</w:t>
      </w:r>
      <w:r w:rsidR="00FE6D2E">
        <w:rPr>
          <w:rFonts w:eastAsia="Calibri"/>
          <w:lang w:val="en-GB"/>
        </w:rPr>
        <w:t>V</w:t>
      </w:r>
      <w:r w:rsidRPr="00B27902">
        <w:rPr>
          <w:rFonts w:eastAsia="Calibri"/>
          <w:lang w:val="en-GB"/>
        </w:rPr>
        <w:t xml:space="preserve"> – </w:t>
      </w:r>
      <w:r w:rsidR="00A8339D">
        <w:rPr>
          <w:rFonts w:eastAsia="Calibri"/>
          <w:lang w:val="en-GB"/>
        </w:rPr>
        <w:t>C</w:t>
      </w:r>
      <w:r w:rsidR="00F26F1D">
        <w:rPr>
          <w:rFonts w:eastAsia="Calibri"/>
          <w:lang w:val="en-GB"/>
        </w:rPr>
        <w:t>onsolidated</w:t>
      </w:r>
      <w:r w:rsidR="00BA59F9">
        <w:rPr>
          <w:rFonts w:eastAsia="Calibri"/>
          <w:lang w:val="en-GB"/>
        </w:rPr>
        <w:t>/merged</w:t>
      </w:r>
      <w:r>
        <w:rPr>
          <w:rFonts w:eastAsia="Calibri"/>
          <w:lang w:val="en-GB"/>
        </w:rPr>
        <w:t xml:space="preserve"> public and utilities provisions</w:t>
      </w:r>
      <w:r w:rsidR="00F26F1D">
        <w:rPr>
          <w:rFonts w:eastAsia="Calibri"/>
          <w:lang w:val="en-GB"/>
        </w:rPr>
        <w:t xml:space="preserve"> in one law</w:t>
      </w:r>
      <w:bookmarkEnd w:id="9"/>
    </w:p>
    <w:p w:rsidR="00A8339D" w:rsidRDefault="004B6281"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t xml:space="preserve">The Public Procurement Law transposes </w:t>
      </w:r>
      <w:r w:rsidRPr="004B6281">
        <w:rPr>
          <w:rFonts w:ascii="Calibri" w:eastAsia="Calibri" w:hAnsi="Calibri" w:cs="Calibri"/>
          <w:sz w:val="24"/>
          <w:szCs w:val="20"/>
          <w:lang w:val="en-GB"/>
        </w:rPr>
        <w:t xml:space="preserve">provisions from the </w:t>
      </w:r>
      <w:r>
        <w:rPr>
          <w:rFonts w:ascii="Calibri" w:eastAsia="Calibri" w:hAnsi="Calibri" w:cs="Calibri"/>
          <w:sz w:val="24"/>
          <w:szCs w:val="20"/>
          <w:lang w:val="en-GB"/>
        </w:rPr>
        <w:t xml:space="preserve">Public Sector Directive and </w:t>
      </w:r>
      <w:r w:rsidRPr="004B6281">
        <w:rPr>
          <w:rFonts w:ascii="Calibri" w:eastAsia="Calibri" w:hAnsi="Calibri" w:cs="Calibri"/>
          <w:sz w:val="24"/>
          <w:szCs w:val="20"/>
          <w:lang w:val="en-GB"/>
        </w:rPr>
        <w:t>Utilities Directive</w:t>
      </w:r>
      <w:r>
        <w:rPr>
          <w:rFonts w:ascii="Calibri" w:eastAsia="Calibri" w:hAnsi="Calibri" w:cs="Calibri"/>
          <w:sz w:val="24"/>
          <w:szCs w:val="20"/>
          <w:lang w:val="en-GB"/>
        </w:rPr>
        <w:t xml:space="preserve"> in a manner which consolidates or merges </w:t>
      </w:r>
      <w:r w:rsidR="006377C5">
        <w:rPr>
          <w:rFonts w:ascii="Calibri" w:eastAsia="Calibri" w:hAnsi="Calibri" w:cs="Calibri"/>
          <w:sz w:val="24"/>
          <w:szCs w:val="20"/>
          <w:lang w:val="en-GB"/>
        </w:rPr>
        <w:t xml:space="preserve">all provisions </w:t>
      </w:r>
      <w:r w:rsidR="006377C5" w:rsidRPr="004B6281">
        <w:rPr>
          <w:rFonts w:ascii="Calibri" w:eastAsia="Calibri" w:hAnsi="Calibri" w:cs="Calibri"/>
          <w:sz w:val="24"/>
          <w:szCs w:val="20"/>
          <w:lang w:val="en-GB"/>
        </w:rPr>
        <w:t>applicable to the each of the two regimes</w:t>
      </w:r>
      <w:r w:rsidRPr="004B6281">
        <w:rPr>
          <w:rFonts w:ascii="Calibri" w:eastAsia="Calibri" w:hAnsi="Calibri" w:cs="Calibri"/>
          <w:sz w:val="24"/>
          <w:szCs w:val="20"/>
          <w:lang w:val="en-GB"/>
        </w:rPr>
        <w:t xml:space="preserve">. </w:t>
      </w:r>
      <w:r>
        <w:rPr>
          <w:rFonts w:ascii="Calibri" w:eastAsia="Calibri" w:hAnsi="Calibri" w:cs="Calibri"/>
          <w:sz w:val="24"/>
          <w:szCs w:val="20"/>
          <w:lang w:val="en-GB"/>
        </w:rPr>
        <w:t xml:space="preserve">There is no separate chapter </w:t>
      </w:r>
      <w:r w:rsidR="00A8339D">
        <w:rPr>
          <w:rFonts w:ascii="Calibri" w:eastAsia="Calibri" w:hAnsi="Calibri" w:cs="Calibri"/>
          <w:sz w:val="24"/>
          <w:szCs w:val="20"/>
          <w:lang w:val="en-GB"/>
        </w:rPr>
        <w:t>or part of the law applicable for</w:t>
      </w:r>
      <w:r>
        <w:rPr>
          <w:rFonts w:ascii="Calibri" w:eastAsia="Calibri" w:hAnsi="Calibri" w:cs="Calibri"/>
          <w:sz w:val="24"/>
          <w:szCs w:val="20"/>
          <w:lang w:val="en-GB"/>
        </w:rPr>
        <w:t xml:space="preserve"> utilities like in </w:t>
      </w:r>
      <w:r w:rsidR="00A8339D">
        <w:rPr>
          <w:rFonts w:ascii="Calibri" w:eastAsia="Calibri" w:hAnsi="Calibri" w:cs="Calibri"/>
          <w:sz w:val="24"/>
          <w:szCs w:val="20"/>
          <w:lang w:val="en-GB"/>
        </w:rPr>
        <w:t>O</w:t>
      </w:r>
      <w:r>
        <w:rPr>
          <w:rFonts w:ascii="Calibri" w:eastAsia="Calibri" w:hAnsi="Calibri" w:cs="Calibri"/>
          <w:sz w:val="24"/>
          <w:szCs w:val="20"/>
          <w:lang w:val="en-GB"/>
        </w:rPr>
        <w:t>ption</w:t>
      </w:r>
      <w:r w:rsidR="00A8339D">
        <w:rPr>
          <w:rFonts w:ascii="Calibri" w:eastAsia="Calibri" w:hAnsi="Calibri" w:cs="Calibri"/>
          <w:sz w:val="24"/>
          <w:szCs w:val="20"/>
          <w:lang w:val="en-GB"/>
        </w:rPr>
        <w:t>s</w:t>
      </w:r>
      <w:r>
        <w:rPr>
          <w:rFonts w:ascii="Calibri" w:eastAsia="Calibri" w:hAnsi="Calibri" w:cs="Calibri"/>
          <w:sz w:val="24"/>
          <w:szCs w:val="20"/>
          <w:lang w:val="en-GB"/>
        </w:rPr>
        <w:t xml:space="preserve"> I and II.</w:t>
      </w:r>
      <w:r w:rsidRPr="004B6281">
        <w:rPr>
          <w:rFonts w:ascii="Calibri" w:eastAsia="Calibri" w:hAnsi="Calibri" w:cs="Calibri"/>
          <w:sz w:val="24"/>
          <w:szCs w:val="20"/>
          <w:lang w:val="en-GB"/>
        </w:rPr>
        <w:t xml:space="preserve"> </w:t>
      </w:r>
      <w:r w:rsidR="004B49DE">
        <w:rPr>
          <w:rFonts w:ascii="Calibri" w:eastAsia="Calibri" w:hAnsi="Calibri" w:cs="Calibri"/>
          <w:sz w:val="24"/>
          <w:szCs w:val="20"/>
          <w:lang w:val="en-GB"/>
        </w:rPr>
        <w:t xml:space="preserve">Public and Utilities Directive share many provisions. At the same </w:t>
      </w:r>
      <w:r w:rsidR="00BD3A2B">
        <w:rPr>
          <w:rFonts w:ascii="Calibri" w:eastAsia="Calibri" w:hAnsi="Calibri" w:cs="Calibri"/>
          <w:sz w:val="24"/>
          <w:szCs w:val="20"/>
          <w:lang w:val="en-GB"/>
        </w:rPr>
        <w:t>time,</w:t>
      </w:r>
      <w:r w:rsidR="00A8339D">
        <w:rPr>
          <w:rFonts w:ascii="Calibri" w:eastAsia="Calibri" w:hAnsi="Calibri" w:cs="Calibri"/>
          <w:sz w:val="24"/>
          <w:szCs w:val="20"/>
          <w:lang w:val="en-GB"/>
        </w:rPr>
        <w:t xml:space="preserve"> there is a number of </w:t>
      </w:r>
      <w:r w:rsidR="004B49DE">
        <w:rPr>
          <w:rFonts w:ascii="Calibri" w:eastAsia="Calibri" w:hAnsi="Calibri" w:cs="Calibri"/>
          <w:sz w:val="24"/>
          <w:szCs w:val="20"/>
          <w:lang w:val="en-GB"/>
        </w:rPr>
        <w:t xml:space="preserve">provisions which are regulated differently. </w:t>
      </w:r>
      <w:r w:rsidR="006377C5">
        <w:rPr>
          <w:rFonts w:ascii="Calibri" w:eastAsia="Calibri" w:hAnsi="Calibri" w:cs="Calibri"/>
          <w:sz w:val="24"/>
          <w:szCs w:val="20"/>
          <w:lang w:val="en-GB"/>
        </w:rPr>
        <w:t>In this scenario, t</w:t>
      </w:r>
      <w:r w:rsidR="004B49DE">
        <w:rPr>
          <w:rFonts w:ascii="Calibri" w:eastAsia="Calibri" w:hAnsi="Calibri" w:cs="Calibri"/>
          <w:sz w:val="24"/>
          <w:szCs w:val="20"/>
          <w:lang w:val="en-GB"/>
        </w:rPr>
        <w:t>h</w:t>
      </w:r>
      <w:r w:rsidR="00BD3A2B">
        <w:rPr>
          <w:rFonts w:ascii="Calibri" w:eastAsia="Calibri" w:hAnsi="Calibri" w:cs="Calibri"/>
          <w:sz w:val="24"/>
          <w:szCs w:val="20"/>
          <w:lang w:val="en-GB"/>
        </w:rPr>
        <w:t>ese</w:t>
      </w:r>
      <w:r w:rsidR="004B49DE">
        <w:rPr>
          <w:rFonts w:ascii="Calibri" w:eastAsia="Calibri" w:hAnsi="Calibri" w:cs="Calibri"/>
          <w:sz w:val="24"/>
          <w:szCs w:val="20"/>
          <w:lang w:val="en-GB"/>
        </w:rPr>
        <w:t xml:space="preserve"> differences are presented in a natural order of the procedure. </w:t>
      </w:r>
      <w:r>
        <w:rPr>
          <w:rFonts w:ascii="Calibri" w:eastAsia="Calibri" w:hAnsi="Calibri" w:cs="Calibri"/>
          <w:sz w:val="24"/>
          <w:szCs w:val="20"/>
          <w:lang w:val="en-GB"/>
        </w:rPr>
        <w:t xml:space="preserve">For example, a provision </w:t>
      </w:r>
      <w:r w:rsidR="004B49DE">
        <w:rPr>
          <w:rFonts w:ascii="Calibri" w:eastAsia="Calibri" w:hAnsi="Calibri" w:cs="Calibri"/>
          <w:sz w:val="24"/>
          <w:szCs w:val="20"/>
          <w:lang w:val="en-GB"/>
        </w:rPr>
        <w:t>on</w:t>
      </w:r>
      <w:r>
        <w:rPr>
          <w:rFonts w:ascii="Calibri" w:eastAsia="Calibri" w:hAnsi="Calibri" w:cs="Calibri"/>
          <w:sz w:val="24"/>
          <w:szCs w:val="20"/>
          <w:lang w:val="en-GB"/>
        </w:rPr>
        <w:t xml:space="preserve"> </w:t>
      </w:r>
      <w:r w:rsidR="00A8339D">
        <w:rPr>
          <w:rFonts w:ascii="Calibri" w:eastAsia="Calibri" w:hAnsi="Calibri" w:cs="Calibri"/>
          <w:sz w:val="24"/>
          <w:szCs w:val="20"/>
          <w:lang w:val="en-GB"/>
        </w:rPr>
        <w:t>thresholds</w:t>
      </w:r>
      <w:r w:rsidR="004B49DE">
        <w:rPr>
          <w:rFonts w:ascii="Calibri" w:eastAsia="Calibri" w:hAnsi="Calibri" w:cs="Calibri"/>
          <w:sz w:val="24"/>
          <w:szCs w:val="20"/>
          <w:lang w:val="en-GB"/>
        </w:rPr>
        <w:t xml:space="preserve"> which differ between the two regimes </w:t>
      </w:r>
      <w:r>
        <w:rPr>
          <w:rFonts w:ascii="Calibri" w:eastAsia="Calibri" w:hAnsi="Calibri" w:cs="Calibri"/>
          <w:sz w:val="24"/>
          <w:szCs w:val="20"/>
          <w:lang w:val="en-GB"/>
        </w:rPr>
        <w:t xml:space="preserve">would </w:t>
      </w:r>
      <w:r w:rsidR="00BD3A2B">
        <w:rPr>
          <w:rFonts w:ascii="Calibri" w:eastAsia="Calibri" w:hAnsi="Calibri" w:cs="Calibri"/>
          <w:sz w:val="24"/>
          <w:szCs w:val="20"/>
          <w:lang w:val="en-GB"/>
        </w:rPr>
        <w:t xml:space="preserve">be </w:t>
      </w:r>
      <w:r w:rsidR="004B49DE">
        <w:rPr>
          <w:rFonts w:ascii="Calibri" w:eastAsia="Calibri" w:hAnsi="Calibri" w:cs="Calibri"/>
          <w:sz w:val="24"/>
          <w:szCs w:val="20"/>
          <w:lang w:val="en-GB"/>
        </w:rPr>
        <w:t>regulate</w:t>
      </w:r>
      <w:r w:rsidR="00BD3A2B">
        <w:rPr>
          <w:rFonts w:ascii="Calibri" w:eastAsia="Calibri" w:hAnsi="Calibri" w:cs="Calibri"/>
          <w:sz w:val="24"/>
          <w:szCs w:val="20"/>
          <w:lang w:val="en-GB"/>
        </w:rPr>
        <w:t>d</w:t>
      </w:r>
      <w:r w:rsidR="004B49DE">
        <w:rPr>
          <w:rFonts w:ascii="Calibri" w:eastAsia="Calibri" w:hAnsi="Calibri" w:cs="Calibri"/>
          <w:sz w:val="24"/>
          <w:szCs w:val="20"/>
          <w:lang w:val="en-GB"/>
        </w:rPr>
        <w:t xml:space="preserve"> at one place (</w:t>
      </w:r>
      <w:r>
        <w:rPr>
          <w:rFonts w:ascii="Calibri" w:eastAsia="Calibri" w:hAnsi="Calibri" w:cs="Calibri"/>
          <w:sz w:val="24"/>
          <w:szCs w:val="20"/>
          <w:lang w:val="en-GB"/>
        </w:rPr>
        <w:t>same Article or Section</w:t>
      </w:r>
      <w:r w:rsidR="004B49DE">
        <w:rPr>
          <w:rFonts w:ascii="Calibri" w:eastAsia="Calibri" w:hAnsi="Calibri" w:cs="Calibri"/>
          <w:sz w:val="24"/>
          <w:szCs w:val="20"/>
          <w:lang w:val="en-GB"/>
        </w:rPr>
        <w:t>)</w:t>
      </w:r>
      <w:r>
        <w:rPr>
          <w:rFonts w:ascii="Calibri" w:eastAsia="Calibri" w:hAnsi="Calibri" w:cs="Calibri"/>
          <w:sz w:val="24"/>
          <w:szCs w:val="20"/>
          <w:lang w:val="en-GB"/>
        </w:rPr>
        <w:t xml:space="preserve"> </w:t>
      </w:r>
      <w:r w:rsidR="00BD3A2B">
        <w:rPr>
          <w:rFonts w:ascii="Calibri" w:eastAsia="Calibri" w:hAnsi="Calibri" w:cs="Calibri"/>
          <w:sz w:val="24"/>
          <w:szCs w:val="20"/>
          <w:lang w:val="en-GB"/>
        </w:rPr>
        <w:t>and</w:t>
      </w:r>
      <w:r w:rsidR="006377C5">
        <w:rPr>
          <w:rFonts w:ascii="Calibri" w:eastAsia="Calibri" w:hAnsi="Calibri" w:cs="Calibri"/>
          <w:sz w:val="24"/>
          <w:szCs w:val="20"/>
          <w:lang w:val="en-GB"/>
        </w:rPr>
        <w:t xml:space="preserve"> would</w:t>
      </w:r>
      <w:r w:rsidR="00BD3A2B">
        <w:rPr>
          <w:rFonts w:ascii="Calibri" w:eastAsia="Calibri" w:hAnsi="Calibri" w:cs="Calibri"/>
          <w:sz w:val="24"/>
          <w:szCs w:val="20"/>
          <w:lang w:val="en-GB"/>
        </w:rPr>
        <w:t xml:space="preserve"> take account of different </w:t>
      </w:r>
      <w:r w:rsidR="007005CC">
        <w:rPr>
          <w:rFonts w:ascii="Calibri" w:eastAsia="Calibri" w:hAnsi="Calibri" w:cs="Calibri"/>
          <w:sz w:val="24"/>
          <w:szCs w:val="20"/>
          <w:lang w:val="en-GB"/>
        </w:rPr>
        <w:t>thresholds</w:t>
      </w:r>
      <w:r>
        <w:rPr>
          <w:rFonts w:ascii="Calibri" w:eastAsia="Calibri" w:hAnsi="Calibri" w:cs="Calibri"/>
          <w:sz w:val="24"/>
          <w:szCs w:val="20"/>
          <w:lang w:val="en-GB"/>
        </w:rPr>
        <w:t xml:space="preserve"> in public contracts and utilities contracts</w:t>
      </w:r>
      <w:r w:rsidR="004B49DE">
        <w:rPr>
          <w:rFonts w:ascii="Calibri" w:eastAsia="Calibri" w:hAnsi="Calibri" w:cs="Calibri"/>
          <w:sz w:val="24"/>
          <w:szCs w:val="20"/>
          <w:lang w:val="en-GB"/>
        </w:rPr>
        <w:t xml:space="preserve"> procedures</w:t>
      </w:r>
      <w:r>
        <w:rPr>
          <w:rFonts w:ascii="Calibri" w:eastAsia="Calibri" w:hAnsi="Calibri" w:cs="Calibri"/>
          <w:sz w:val="24"/>
          <w:szCs w:val="20"/>
          <w:lang w:val="en-GB"/>
        </w:rPr>
        <w:t xml:space="preserve">. </w:t>
      </w:r>
      <w:r w:rsidRPr="004B6281">
        <w:rPr>
          <w:rFonts w:ascii="Calibri" w:eastAsia="Calibri" w:hAnsi="Calibri" w:cs="Calibri"/>
          <w:sz w:val="24"/>
          <w:szCs w:val="20"/>
          <w:lang w:val="en-GB"/>
        </w:rPr>
        <w:t xml:space="preserve">This option </w:t>
      </w:r>
      <w:r w:rsidR="004B49DE">
        <w:rPr>
          <w:rFonts w:ascii="Calibri" w:eastAsia="Calibri" w:hAnsi="Calibri" w:cs="Calibri"/>
          <w:sz w:val="24"/>
          <w:szCs w:val="20"/>
          <w:lang w:val="en-GB"/>
        </w:rPr>
        <w:t>has been used by Slovenian legislator in the new draft of Public Procurement Law</w:t>
      </w:r>
      <w:r w:rsidR="00BD3A2B">
        <w:rPr>
          <w:rStyle w:val="FootnoteReference"/>
          <w:rFonts w:ascii="Calibri" w:eastAsia="Calibri" w:hAnsi="Calibri" w:cs="Calibri"/>
          <w:sz w:val="24"/>
          <w:szCs w:val="20"/>
          <w:lang w:val="en-GB"/>
        </w:rPr>
        <w:footnoteReference w:id="3"/>
      </w:r>
      <w:r w:rsidR="00BD3A2B">
        <w:rPr>
          <w:rFonts w:ascii="Calibri" w:eastAsia="Calibri" w:hAnsi="Calibri" w:cs="Calibri"/>
          <w:sz w:val="24"/>
          <w:szCs w:val="20"/>
          <w:lang w:val="en-GB"/>
        </w:rPr>
        <w:t xml:space="preserve"> which is in the public consultation phase.</w:t>
      </w:r>
    </w:p>
    <w:p w:rsidR="006377C5" w:rsidRDefault="00293B09" w:rsidP="00DB318D">
      <w:pPr>
        <w:keepNext w:val="0"/>
        <w:keepLines w:val="0"/>
        <w:spacing w:after="120" w:line="240" w:lineRule="auto"/>
        <w:jc w:val="both"/>
        <w:rPr>
          <w:rFonts w:ascii="Calibri" w:eastAsia="Calibri" w:hAnsi="Calibri" w:cs="Calibri"/>
          <w:sz w:val="24"/>
          <w:szCs w:val="20"/>
          <w:lang w:val="en-GB"/>
        </w:rPr>
      </w:pPr>
      <w:r w:rsidRPr="00293B09">
        <w:rPr>
          <w:rFonts w:ascii="Calibri" w:eastAsia="Calibri" w:hAnsi="Calibri" w:cs="Calibri"/>
          <w:sz w:val="24"/>
          <w:szCs w:val="20"/>
          <w:lang w:val="en-GB"/>
        </w:rPr>
        <w:t xml:space="preserve">A volume of the law in this case can be perceived as user-friendly, especially in public consultation and adoption process. </w:t>
      </w:r>
      <w:r>
        <w:rPr>
          <w:rFonts w:ascii="Calibri" w:eastAsia="Calibri" w:hAnsi="Calibri" w:cs="Calibri"/>
          <w:sz w:val="24"/>
          <w:szCs w:val="20"/>
          <w:lang w:val="en-GB"/>
        </w:rPr>
        <w:t>Since</w:t>
      </w:r>
      <w:r w:rsidR="00BD3A2B" w:rsidRPr="00BD3A2B">
        <w:rPr>
          <w:rFonts w:ascii="Calibri" w:eastAsia="Calibri" w:hAnsi="Calibri" w:cs="Calibri"/>
          <w:sz w:val="24"/>
          <w:szCs w:val="20"/>
          <w:lang w:val="en-GB"/>
        </w:rPr>
        <w:t xml:space="preserve"> many provisions from the two Directives </w:t>
      </w:r>
      <w:r>
        <w:rPr>
          <w:rFonts w:ascii="Calibri" w:eastAsia="Calibri" w:hAnsi="Calibri" w:cs="Calibri"/>
          <w:sz w:val="24"/>
          <w:szCs w:val="20"/>
          <w:lang w:val="en-GB"/>
        </w:rPr>
        <w:t>mirror each other</w:t>
      </w:r>
      <w:r w:rsidR="00BD3A2B" w:rsidRPr="00BD3A2B">
        <w:rPr>
          <w:rFonts w:ascii="Calibri" w:eastAsia="Calibri" w:hAnsi="Calibri" w:cs="Calibri"/>
          <w:sz w:val="24"/>
          <w:szCs w:val="20"/>
          <w:lang w:val="en-GB"/>
        </w:rPr>
        <w:t xml:space="preserve">, an exact repetition of the provisions in this scenario </w:t>
      </w:r>
      <w:r w:rsidR="00BD3A2B">
        <w:rPr>
          <w:rFonts w:ascii="Calibri" w:eastAsia="Calibri" w:hAnsi="Calibri" w:cs="Calibri"/>
          <w:sz w:val="24"/>
          <w:szCs w:val="20"/>
          <w:lang w:val="en-GB"/>
        </w:rPr>
        <w:t>is</w:t>
      </w:r>
      <w:r w:rsidR="00BD3A2B" w:rsidRPr="00BD3A2B">
        <w:rPr>
          <w:rFonts w:ascii="Calibri" w:eastAsia="Calibri" w:hAnsi="Calibri" w:cs="Calibri"/>
          <w:sz w:val="24"/>
          <w:szCs w:val="20"/>
          <w:lang w:val="en-GB"/>
        </w:rPr>
        <w:t xml:space="preserve"> avoided.</w:t>
      </w:r>
      <w:r w:rsidR="004B6281" w:rsidRPr="004B6281">
        <w:rPr>
          <w:rFonts w:ascii="Calibri" w:eastAsia="Calibri" w:hAnsi="Calibri" w:cs="Calibri"/>
          <w:sz w:val="24"/>
          <w:szCs w:val="20"/>
          <w:lang w:val="en-GB"/>
        </w:rPr>
        <w:t xml:space="preserve"> In this scenario issues with regard to overlapping between the two sets of rules are </w:t>
      </w:r>
      <w:r w:rsidR="00361625">
        <w:rPr>
          <w:rFonts w:ascii="Calibri" w:eastAsia="Calibri" w:hAnsi="Calibri" w:cs="Calibri"/>
          <w:sz w:val="24"/>
          <w:szCs w:val="20"/>
          <w:lang w:val="en-GB"/>
        </w:rPr>
        <w:t xml:space="preserve">completely </w:t>
      </w:r>
      <w:r w:rsidR="004B6281" w:rsidRPr="004B6281">
        <w:rPr>
          <w:rFonts w:ascii="Calibri" w:eastAsia="Calibri" w:hAnsi="Calibri" w:cs="Calibri"/>
          <w:sz w:val="24"/>
          <w:szCs w:val="20"/>
          <w:lang w:val="en-GB"/>
        </w:rPr>
        <w:t xml:space="preserve">avoided. This is because the law </w:t>
      </w:r>
      <w:r w:rsidR="004B6281">
        <w:rPr>
          <w:rFonts w:ascii="Calibri" w:eastAsia="Calibri" w:hAnsi="Calibri" w:cs="Calibri"/>
          <w:sz w:val="24"/>
          <w:szCs w:val="20"/>
          <w:lang w:val="en-GB"/>
        </w:rPr>
        <w:t>consolidates the</w:t>
      </w:r>
      <w:r w:rsidR="004B6281" w:rsidRPr="004B6281">
        <w:rPr>
          <w:rFonts w:ascii="Calibri" w:eastAsia="Calibri" w:hAnsi="Calibri" w:cs="Calibri"/>
          <w:sz w:val="24"/>
          <w:szCs w:val="20"/>
          <w:lang w:val="en-GB"/>
        </w:rPr>
        <w:t xml:space="preserve"> rules applicable to the each of the two regimes.</w:t>
      </w:r>
      <w:r>
        <w:rPr>
          <w:rFonts w:ascii="Calibri" w:eastAsia="Calibri" w:hAnsi="Calibri" w:cs="Calibri"/>
          <w:sz w:val="24"/>
          <w:szCs w:val="20"/>
          <w:lang w:val="en-GB"/>
        </w:rPr>
        <w:t xml:space="preserve"> </w:t>
      </w:r>
      <w:r w:rsidRPr="00C81251">
        <w:rPr>
          <w:rFonts w:ascii="Calibri" w:eastAsia="Calibri" w:hAnsi="Calibri" w:cs="Calibri"/>
          <w:sz w:val="24"/>
          <w:szCs w:val="20"/>
          <w:lang w:val="en-GB"/>
        </w:rPr>
        <w:t xml:space="preserve">However, at the same time it will take </w:t>
      </w:r>
      <w:r w:rsidR="006377C5" w:rsidRPr="00C81251">
        <w:rPr>
          <w:rFonts w:ascii="Calibri" w:eastAsia="Calibri" w:hAnsi="Calibri" w:cs="Calibri"/>
          <w:sz w:val="24"/>
          <w:szCs w:val="20"/>
          <w:lang w:val="en-GB"/>
        </w:rPr>
        <w:t xml:space="preserve">some additional effort to </w:t>
      </w:r>
      <w:r w:rsidR="00EA7A49" w:rsidRPr="00C81251">
        <w:rPr>
          <w:rFonts w:ascii="Calibri" w:eastAsia="Calibri" w:hAnsi="Calibri" w:cs="Calibri"/>
          <w:sz w:val="24"/>
          <w:szCs w:val="20"/>
          <w:lang w:val="en-GB"/>
        </w:rPr>
        <w:t xml:space="preserve">identify, draft and </w:t>
      </w:r>
      <w:r w:rsidR="006377C5" w:rsidRPr="00C81251">
        <w:rPr>
          <w:rFonts w:ascii="Calibri" w:eastAsia="Calibri" w:hAnsi="Calibri" w:cs="Calibri"/>
          <w:sz w:val="24"/>
          <w:szCs w:val="20"/>
          <w:lang w:val="en-GB"/>
        </w:rPr>
        <w:t>properly transpose</w:t>
      </w:r>
      <w:r w:rsidR="006377C5">
        <w:rPr>
          <w:rFonts w:ascii="Calibri" w:eastAsia="Calibri" w:hAnsi="Calibri" w:cs="Calibri"/>
          <w:sz w:val="24"/>
          <w:szCs w:val="20"/>
          <w:lang w:val="en-GB"/>
        </w:rPr>
        <w:t xml:space="preserve"> </w:t>
      </w:r>
      <w:r w:rsidR="00EA7A49">
        <w:rPr>
          <w:rFonts w:ascii="Calibri" w:eastAsia="Calibri" w:hAnsi="Calibri" w:cs="Calibri"/>
          <w:sz w:val="24"/>
          <w:szCs w:val="20"/>
          <w:lang w:val="en-GB"/>
        </w:rPr>
        <w:t xml:space="preserve">all of the </w:t>
      </w:r>
      <w:r w:rsidR="006377C5">
        <w:rPr>
          <w:rFonts w:ascii="Calibri" w:eastAsia="Calibri" w:hAnsi="Calibri" w:cs="Calibri"/>
          <w:sz w:val="24"/>
          <w:szCs w:val="20"/>
          <w:lang w:val="en-GB"/>
        </w:rPr>
        <w:t xml:space="preserve">specific rules and details </w:t>
      </w:r>
      <w:r w:rsidR="00EA7A49">
        <w:rPr>
          <w:rFonts w:ascii="Calibri" w:eastAsia="Calibri" w:hAnsi="Calibri" w:cs="Calibri"/>
          <w:sz w:val="24"/>
          <w:szCs w:val="20"/>
          <w:lang w:val="en-GB"/>
        </w:rPr>
        <w:t xml:space="preserve">in the manner which </w:t>
      </w:r>
      <w:r w:rsidR="0015499D">
        <w:rPr>
          <w:rFonts w:ascii="Calibri" w:eastAsia="Calibri" w:hAnsi="Calibri" w:cs="Calibri"/>
          <w:sz w:val="24"/>
          <w:szCs w:val="20"/>
          <w:lang w:val="en-GB"/>
        </w:rPr>
        <w:t xml:space="preserve">will </w:t>
      </w:r>
      <w:r w:rsidR="00EA7A49">
        <w:rPr>
          <w:rFonts w:ascii="Calibri" w:eastAsia="Calibri" w:hAnsi="Calibri" w:cs="Calibri"/>
          <w:sz w:val="24"/>
          <w:szCs w:val="20"/>
          <w:lang w:val="en-GB"/>
        </w:rPr>
        <w:t>clearly present</w:t>
      </w:r>
      <w:r w:rsidR="0015499D">
        <w:rPr>
          <w:rFonts w:ascii="Calibri" w:eastAsia="Calibri" w:hAnsi="Calibri" w:cs="Calibri"/>
          <w:sz w:val="24"/>
          <w:szCs w:val="20"/>
          <w:lang w:val="en-GB"/>
        </w:rPr>
        <w:t xml:space="preserve"> mixed provisions of the two regimes</w:t>
      </w:r>
      <w:r w:rsidR="00EA7A49">
        <w:rPr>
          <w:rFonts w:ascii="Calibri" w:eastAsia="Calibri" w:hAnsi="Calibri" w:cs="Calibri"/>
          <w:sz w:val="24"/>
          <w:szCs w:val="20"/>
          <w:lang w:val="en-GB"/>
        </w:rPr>
        <w:t xml:space="preserve"> </w:t>
      </w:r>
      <w:r w:rsidR="006377C5">
        <w:rPr>
          <w:rFonts w:ascii="Calibri" w:eastAsia="Calibri" w:hAnsi="Calibri" w:cs="Calibri"/>
          <w:sz w:val="24"/>
          <w:szCs w:val="20"/>
          <w:lang w:val="en-GB"/>
        </w:rPr>
        <w:t>to enable smooth implementation.</w:t>
      </w:r>
    </w:p>
    <w:p w:rsidR="004B6281" w:rsidRPr="004B6281" w:rsidRDefault="0015499D"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t>As in the case of O</w:t>
      </w:r>
      <w:r w:rsidR="004B6281" w:rsidRPr="004B6281">
        <w:rPr>
          <w:rFonts w:ascii="Calibri" w:eastAsia="Calibri" w:hAnsi="Calibri" w:cs="Calibri"/>
          <w:sz w:val="24"/>
          <w:szCs w:val="20"/>
          <w:lang w:val="en-GB"/>
        </w:rPr>
        <w:t xml:space="preserve">ption I, this option has the advantages from the administrative capacity point of view because it requires only one consultation, drafting and adoption procedure. Therefore, there are less procedural steps to be undertaken for the adoption of </w:t>
      </w:r>
      <w:r w:rsidR="00BD3A2B">
        <w:rPr>
          <w:rFonts w:ascii="Calibri" w:eastAsia="Calibri" w:hAnsi="Calibri" w:cs="Calibri"/>
          <w:sz w:val="24"/>
          <w:szCs w:val="20"/>
          <w:lang w:val="en-GB"/>
        </w:rPr>
        <w:t>one</w:t>
      </w:r>
      <w:r w:rsidR="004B6281" w:rsidRPr="004B6281">
        <w:rPr>
          <w:rFonts w:ascii="Calibri" w:eastAsia="Calibri" w:hAnsi="Calibri" w:cs="Calibri"/>
          <w:sz w:val="24"/>
          <w:szCs w:val="20"/>
          <w:lang w:val="en-GB"/>
        </w:rPr>
        <w:t xml:space="preserve"> law. In case of amendments of the law, if required, it is easier to amend one law in one procedure as </w:t>
      </w:r>
      <w:r w:rsidR="00BD3A2B">
        <w:rPr>
          <w:rFonts w:ascii="Calibri" w:eastAsia="Calibri" w:hAnsi="Calibri" w:cs="Calibri"/>
          <w:sz w:val="24"/>
          <w:szCs w:val="20"/>
          <w:lang w:val="en-GB"/>
        </w:rPr>
        <w:t>compared to multiple procedures</w:t>
      </w:r>
      <w:r w:rsidR="004B6281" w:rsidRPr="004B6281">
        <w:rPr>
          <w:rFonts w:ascii="Calibri" w:eastAsia="Calibri" w:hAnsi="Calibri" w:cs="Calibri"/>
          <w:sz w:val="24"/>
          <w:szCs w:val="20"/>
          <w:lang w:val="en-GB"/>
        </w:rPr>
        <w:t xml:space="preserve">. Another advantage is that in case there is any </w:t>
      </w:r>
      <w:r>
        <w:rPr>
          <w:rFonts w:ascii="Calibri" w:eastAsia="Calibri" w:hAnsi="Calibri" w:cs="Calibri"/>
          <w:sz w:val="24"/>
          <w:szCs w:val="20"/>
          <w:lang w:val="en-GB"/>
        </w:rPr>
        <w:t>subordinate</w:t>
      </w:r>
      <w:r w:rsidR="004B6281" w:rsidRPr="004B6281">
        <w:rPr>
          <w:rFonts w:ascii="Calibri" w:eastAsia="Calibri" w:hAnsi="Calibri" w:cs="Calibri"/>
          <w:sz w:val="24"/>
          <w:szCs w:val="20"/>
          <w:lang w:val="en-GB"/>
        </w:rPr>
        <w:t xml:space="preserve"> legislation, there is possibility to envisage one set of secondary legislation adopted pursuant to the law applicable to both public and utilities sector.</w:t>
      </w:r>
    </w:p>
    <w:p w:rsidR="004B6281" w:rsidRPr="00293B09" w:rsidRDefault="00BD3A2B" w:rsidP="00DB318D">
      <w:pPr>
        <w:keepNext w:val="0"/>
        <w:keepLines w:val="0"/>
        <w:spacing w:after="120" w:line="240" w:lineRule="auto"/>
        <w:jc w:val="both"/>
        <w:rPr>
          <w:rFonts w:ascii="Calibri" w:eastAsia="Calibri" w:hAnsi="Calibri" w:cs="Calibri"/>
          <w:sz w:val="24"/>
          <w:szCs w:val="20"/>
          <w:lang w:val="en-GB"/>
        </w:rPr>
      </w:pPr>
      <w:r w:rsidRPr="00293B09">
        <w:rPr>
          <w:rFonts w:ascii="Calibri" w:eastAsia="Calibri" w:hAnsi="Calibri" w:cs="Calibri"/>
          <w:sz w:val="24"/>
          <w:szCs w:val="20"/>
          <w:lang w:val="en-GB"/>
        </w:rPr>
        <w:t>Negative</w:t>
      </w:r>
      <w:r w:rsidR="004B6281" w:rsidRPr="00293B09">
        <w:rPr>
          <w:rFonts w:ascii="Calibri" w:eastAsia="Calibri" w:hAnsi="Calibri" w:cs="Calibri"/>
          <w:sz w:val="24"/>
          <w:szCs w:val="20"/>
          <w:lang w:val="en-GB"/>
        </w:rPr>
        <w:t xml:space="preserve"> aspects of this option may be envisaged in implementing the law by contracting entities. From their point of view the</w:t>
      </w:r>
      <w:r w:rsidRPr="00293B09">
        <w:rPr>
          <w:rFonts w:ascii="Calibri" w:eastAsia="Calibri" w:hAnsi="Calibri" w:cs="Calibri"/>
          <w:sz w:val="24"/>
          <w:szCs w:val="20"/>
          <w:lang w:val="en-GB"/>
        </w:rPr>
        <w:t xml:space="preserve"> specific utilities issues could be perceived as “lost in the crowd</w:t>
      </w:r>
      <w:r w:rsidR="0015499D">
        <w:rPr>
          <w:rFonts w:ascii="Calibri" w:eastAsia="Calibri" w:hAnsi="Calibri" w:cs="Calibri"/>
          <w:sz w:val="24"/>
          <w:szCs w:val="20"/>
          <w:lang w:val="en-GB"/>
        </w:rPr>
        <w:t xml:space="preserve"> of provisions</w:t>
      </w:r>
      <w:r w:rsidRPr="00293B09">
        <w:rPr>
          <w:rFonts w:ascii="Calibri" w:eastAsia="Calibri" w:hAnsi="Calibri" w:cs="Calibri"/>
          <w:sz w:val="24"/>
          <w:szCs w:val="20"/>
          <w:lang w:val="en-GB"/>
        </w:rPr>
        <w:t>” together w</w:t>
      </w:r>
      <w:r w:rsidR="00293B09" w:rsidRPr="00293B09">
        <w:rPr>
          <w:rFonts w:ascii="Calibri" w:eastAsia="Calibri" w:hAnsi="Calibri" w:cs="Calibri"/>
          <w:sz w:val="24"/>
          <w:szCs w:val="20"/>
          <w:lang w:val="en-GB"/>
        </w:rPr>
        <w:t xml:space="preserve">ith classic procurement regime since there is not </w:t>
      </w:r>
      <w:r w:rsidR="004B6281" w:rsidRPr="00293B09">
        <w:rPr>
          <w:rFonts w:ascii="Calibri" w:eastAsia="Calibri" w:hAnsi="Calibri" w:cs="Calibri"/>
          <w:sz w:val="24"/>
          <w:szCs w:val="20"/>
          <w:lang w:val="en-GB"/>
        </w:rPr>
        <w:t xml:space="preserve">only one comprehensive set of rules to be followed </w:t>
      </w:r>
      <w:r w:rsidR="00293B09" w:rsidRPr="00293B09">
        <w:rPr>
          <w:rFonts w:ascii="Calibri" w:eastAsia="Calibri" w:hAnsi="Calibri" w:cs="Calibri"/>
          <w:sz w:val="24"/>
          <w:szCs w:val="20"/>
          <w:lang w:val="en-GB"/>
        </w:rPr>
        <w:t>for utilities</w:t>
      </w:r>
      <w:r w:rsidR="004B6281" w:rsidRPr="00293B09">
        <w:rPr>
          <w:rFonts w:ascii="Calibri" w:eastAsia="Calibri" w:hAnsi="Calibri" w:cs="Calibri"/>
          <w:sz w:val="24"/>
          <w:szCs w:val="20"/>
          <w:lang w:val="en-GB"/>
        </w:rPr>
        <w:t>.</w:t>
      </w:r>
      <w:r w:rsidR="00293B09" w:rsidRPr="00293B09">
        <w:rPr>
          <w:rFonts w:ascii="Calibri" w:eastAsia="Calibri" w:hAnsi="Calibri" w:cs="Calibri"/>
          <w:sz w:val="24"/>
          <w:szCs w:val="20"/>
          <w:lang w:val="en-GB"/>
        </w:rPr>
        <w:t xml:space="preserve"> </w:t>
      </w:r>
      <w:r w:rsidR="00A65ECF">
        <w:rPr>
          <w:rFonts w:ascii="Calibri" w:eastAsia="Calibri" w:hAnsi="Calibri" w:cs="Calibri"/>
          <w:sz w:val="24"/>
          <w:szCs w:val="20"/>
          <w:lang w:val="en-GB"/>
        </w:rPr>
        <w:t>T</w:t>
      </w:r>
      <w:r w:rsidR="00293B09" w:rsidRPr="00293B09">
        <w:rPr>
          <w:rFonts w:ascii="Calibri" w:eastAsia="Calibri" w:hAnsi="Calibri" w:cs="Calibri"/>
          <w:sz w:val="24"/>
          <w:szCs w:val="20"/>
          <w:lang w:val="en-GB"/>
        </w:rPr>
        <w:t xml:space="preserve">hey will </w:t>
      </w:r>
      <w:r w:rsidR="00A65ECF">
        <w:rPr>
          <w:rFonts w:ascii="Calibri" w:eastAsia="Calibri" w:hAnsi="Calibri" w:cs="Calibri"/>
          <w:sz w:val="24"/>
          <w:szCs w:val="20"/>
          <w:lang w:val="en-GB"/>
        </w:rPr>
        <w:t xml:space="preserve">still </w:t>
      </w:r>
      <w:r w:rsidR="00293B09" w:rsidRPr="00293B09">
        <w:rPr>
          <w:rFonts w:ascii="Calibri" w:eastAsia="Calibri" w:hAnsi="Calibri" w:cs="Calibri"/>
          <w:sz w:val="24"/>
          <w:szCs w:val="20"/>
          <w:lang w:val="en-GB"/>
        </w:rPr>
        <w:t>have to carefully search for applicable specific utilities provisions which could cause some misinterpretations</w:t>
      </w:r>
      <w:r w:rsidR="00F7281D">
        <w:rPr>
          <w:rFonts w:ascii="Calibri" w:eastAsia="Calibri" w:hAnsi="Calibri" w:cs="Calibri"/>
          <w:sz w:val="24"/>
          <w:szCs w:val="20"/>
          <w:lang w:val="en-GB"/>
        </w:rPr>
        <w:t xml:space="preserve"> or longer period of adaptation</w:t>
      </w:r>
      <w:r w:rsidR="00293B09" w:rsidRPr="00293B09">
        <w:rPr>
          <w:rFonts w:ascii="Calibri" w:eastAsia="Calibri" w:hAnsi="Calibri" w:cs="Calibri"/>
          <w:sz w:val="24"/>
          <w:szCs w:val="20"/>
          <w:lang w:val="en-GB"/>
        </w:rPr>
        <w:t>.</w:t>
      </w:r>
    </w:p>
    <w:p w:rsidR="00466A2E" w:rsidRPr="00CD60B5" w:rsidRDefault="003D2F1D" w:rsidP="00DB318D">
      <w:pPr>
        <w:pStyle w:val="Heading2"/>
        <w:keepNext w:val="0"/>
        <w:keepLines w:val="0"/>
        <w:rPr>
          <w:rFonts w:eastAsia="Calibri"/>
          <w:lang w:val="en-GB"/>
        </w:rPr>
      </w:pPr>
      <w:bookmarkStart w:id="10" w:name="_Toc419719678"/>
      <w:r>
        <w:rPr>
          <w:rFonts w:eastAsia="Calibri"/>
          <w:lang w:val="en-GB"/>
        </w:rPr>
        <w:t>3</w:t>
      </w:r>
      <w:r w:rsidR="005C3C9C">
        <w:rPr>
          <w:rFonts w:eastAsia="Calibri"/>
          <w:lang w:val="en-GB"/>
        </w:rPr>
        <w:t xml:space="preserve">.2 </w:t>
      </w:r>
      <w:r w:rsidR="00466A2E" w:rsidRPr="00CD60B5">
        <w:rPr>
          <w:rFonts w:eastAsia="Calibri"/>
          <w:lang w:val="en-GB"/>
        </w:rPr>
        <w:t>Defence</w:t>
      </w:r>
      <w:r w:rsidR="00621B7F">
        <w:rPr>
          <w:rFonts w:eastAsia="Calibri"/>
          <w:lang w:val="en-GB"/>
        </w:rPr>
        <w:t xml:space="preserve"> and Security</w:t>
      </w:r>
      <w:r w:rsidR="00466A2E" w:rsidRPr="00CD60B5">
        <w:rPr>
          <w:rFonts w:eastAsia="Calibri"/>
          <w:lang w:val="en-GB"/>
        </w:rPr>
        <w:t xml:space="preserve"> Directive</w:t>
      </w:r>
      <w:bookmarkEnd w:id="10"/>
      <w:r w:rsidR="00466A2E" w:rsidRPr="00CD60B5">
        <w:rPr>
          <w:rFonts w:eastAsia="Calibri"/>
          <w:lang w:val="en-GB"/>
        </w:rPr>
        <w:t xml:space="preserve"> </w:t>
      </w:r>
    </w:p>
    <w:p w:rsidR="00865648" w:rsidRPr="00CD60B5" w:rsidRDefault="00865648"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Since they were introduced</w:t>
      </w:r>
      <w:r w:rsidR="00991F04" w:rsidRPr="00CD60B5">
        <w:rPr>
          <w:rFonts w:ascii="Calibri" w:eastAsia="Calibri" w:hAnsi="Calibri" w:cs="Calibri"/>
          <w:sz w:val="24"/>
          <w:szCs w:val="20"/>
          <w:lang w:val="en-GB"/>
        </w:rPr>
        <w:t>,</w:t>
      </w:r>
      <w:r w:rsidRPr="00CD60B5">
        <w:rPr>
          <w:rFonts w:ascii="Calibri" w:eastAsia="Calibri" w:hAnsi="Calibri" w:cs="Calibri"/>
          <w:sz w:val="24"/>
          <w:szCs w:val="20"/>
          <w:lang w:val="en-GB"/>
        </w:rPr>
        <w:t xml:space="preserve"> public sector directive</w:t>
      </w:r>
      <w:r w:rsidR="00991F04" w:rsidRPr="00CD60B5">
        <w:rPr>
          <w:rFonts w:ascii="Calibri" w:eastAsia="Calibri" w:hAnsi="Calibri" w:cs="Calibri"/>
          <w:sz w:val="24"/>
          <w:szCs w:val="20"/>
          <w:lang w:val="en-GB"/>
        </w:rPr>
        <w:t>s</w:t>
      </w:r>
      <w:r w:rsidRPr="00CD60B5">
        <w:rPr>
          <w:rFonts w:ascii="Calibri" w:eastAsia="Calibri" w:hAnsi="Calibri" w:cs="Calibri"/>
          <w:sz w:val="24"/>
          <w:szCs w:val="20"/>
          <w:lang w:val="en-GB"/>
        </w:rPr>
        <w:t xml:space="preserve"> have always provided for a partial exemption for defence procurement. The exemption </w:t>
      </w:r>
      <w:r w:rsidR="00991F04" w:rsidRPr="00CD60B5">
        <w:rPr>
          <w:rFonts w:ascii="Calibri" w:eastAsia="Calibri" w:hAnsi="Calibri" w:cs="Calibri"/>
          <w:sz w:val="24"/>
          <w:szCs w:val="20"/>
          <w:lang w:val="en-GB"/>
        </w:rPr>
        <w:t xml:space="preserve">from the procurement rules </w:t>
      </w:r>
      <w:r w:rsidRPr="00CD60B5">
        <w:rPr>
          <w:rFonts w:ascii="Calibri" w:eastAsia="Calibri" w:hAnsi="Calibri" w:cs="Calibri"/>
          <w:sz w:val="24"/>
          <w:szCs w:val="20"/>
          <w:lang w:val="en-GB"/>
        </w:rPr>
        <w:t xml:space="preserve">was not given because </w:t>
      </w:r>
      <w:r w:rsidR="00991F04" w:rsidRPr="00CD60B5">
        <w:rPr>
          <w:rFonts w:ascii="Calibri" w:eastAsia="Calibri" w:hAnsi="Calibri" w:cs="Calibri"/>
          <w:sz w:val="24"/>
          <w:szCs w:val="20"/>
          <w:lang w:val="en-GB"/>
        </w:rPr>
        <w:t>of the identity of the contracting authority</w:t>
      </w:r>
      <w:r w:rsidR="00E57EFC" w:rsidRPr="00CD60B5">
        <w:rPr>
          <w:rFonts w:ascii="Calibri" w:eastAsia="Calibri" w:hAnsi="Calibri" w:cs="Calibri"/>
          <w:sz w:val="24"/>
          <w:szCs w:val="20"/>
          <w:lang w:val="en-GB"/>
        </w:rPr>
        <w:t>, for example,</w:t>
      </w:r>
      <w:r w:rsidRPr="00CD60B5">
        <w:rPr>
          <w:rFonts w:ascii="Calibri" w:eastAsia="Calibri" w:hAnsi="Calibri" w:cs="Calibri"/>
          <w:sz w:val="24"/>
          <w:szCs w:val="20"/>
          <w:lang w:val="en-GB"/>
        </w:rPr>
        <w:t xml:space="preserve"> the Ministry of Defence</w:t>
      </w:r>
      <w:r w:rsidR="00991F04" w:rsidRPr="00CD60B5">
        <w:rPr>
          <w:rFonts w:ascii="Calibri" w:eastAsia="Calibri" w:hAnsi="Calibri" w:cs="Calibri"/>
          <w:sz w:val="24"/>
          <w:szCs w:val="20"/>
          <w:lang w:val="en-GB"/>
        </w:rPr>
        <w:t>.</w:t>
      </w:r>
      <w:r w:rsidRPr="00CD60B5">
        <w:rPr>
          <w:rFonts w:ascii="Calibri" w:eastAsia="Calibri" w:hAnsi="Calibri" w:cs="Calibri"/>
          <w:sz w:val="24"/>
          <w:szCs w:val="20"/>
          <w:lang w:val="en-GB"/>
        </w:rPr>
        <w:t xml:space="preserve"> T</w:t>
      </w:r>
      <w:r w:rsidR="00466A2E" w:rsidRPr="00CD60B5">
        <w:rPr>
          <w:rFonts w:ascii="Calibri" w:eastAsia="Calibri" w:hAnsi="Calibri" w:cs="Calibri"/>
          <w:sz w:val="24"/>
          <w:szCs w:val="20"/>
          <w:lang w:val="en-GB"/>
        </w:rPr>
        <w:t>he exemption applie</w:t>
      </w:r>
      <w:r w:rsidRPr="00CD60B5">
        <w:rPr>
          <w:rFonts w:ascii="Calibri" w:eastAsia="Calibri" w:hAnsi="Calibri" w:cs="Calibri"/>
          <w:sz w:val="24"/>
          <w:szCs w:val="20"/>
          <w:lang w:val="en-GB"/>
        </w:rPr>
        <w:t>d</w:t>
      </w:r>
      <w:r w:rsidR="00466A2E" w:rsidRPr="00CD60B5">
        <w:rPr>
          <w:rFonts w:ascii="Calibri" w:eastAsia="Calibri" w:hAnsi="Calibri" w:cs="Calibri"/>
          <w:sz w:val="24"/>
          <w:szCs w:val="20"/>
          <w:lang w:val="en-GB"/>
        </w:rPr>
        <w:t xml:space="preserve"> </w:t>
      </w:r>
      <w:r w:rsidR="00991F04" w:rsidRPr="00CD60B5">
        <w:rPr>
          <w:rFonts w:ascii="Calibri" w:eastAsia="Calibri" w:hAnsi="Calibri" w:cs="Calibri"/>
          <w:sz w:val="24"/>
          <w:szCs w:val="20"/>
          <w:lang w:val="en-GB"/>
        </w:rPr>
        <w:t xml:space="preserve">because of </w:t>
      </w:r>
      <w:r w:rsidR="00466A2E" w:rsidRPr="00CD60B5">
        <w:rPr>
          <w:rFonts w:ascii="Calibri" w:eastAsia="Calibri" w:hAnsi="Calibri" w:cs="Calibri"/>
          <w:sz w:val="24"/>
          <w:szCs w:val="20"/>
          <w:lang w:val="en-GB"/>
        </w:rPr>
        <w:t xml:space="preserve">the subject matter of the procurement, i.e. </w:t>
      </w:r>
      <w:r w:rsidR="001165FD">
        <w:rPr>
          <w:rFonts w:ascii="Calibri" w:eastAsia="Calibri" w:hAnsi="Calibri" w:cs="Calibri"/>
          <w:sz w:val="24"/>
          <w:szCs w:val="20"/>
          <w:lang w:val="en-GB"/>
        </w:rPr>
        <w:t>the</w:t>
      </w:r>
      <w:r w:rsidR="00466A2E" w:rsidRPr="00CD60B5">
        <w:rPr>
          <w:rFonts w:ascii="Calibri" w:eastAsia="Calibri" w:hAnsi="Calibri" w:cs="Calibri"/>
          <w:sz w:val="24"/>
          <w:szCs w:val="20"/>
          <w:lang w:val="en-GB"/>
        </w:rPr>
        <w:t xml:space="preserve"> products that are of a military nature. </w:t>
      </w:r>
    </w:p>
    <w:p w:rsidR="002974E0" w:rsidRPr="00CD60B5" w:rsidRDefault="00466A2E"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Since 2009, however, those </w:t>
      </w:r>
      <w:r w:rsidR="00CD60B5">
        <w:rPr>
          <w:rFonts w:ascii="Calibri" w:eastAsia="Calibri" w:hAnsi="Calibri" w:cs="Calibri"/>
          <w:sz w:val="24"/>
          <w:szCs w:val="20"/>
          <w:lang w:val="en-GB"/>
        </w:rPr>
        <w:t xml:space="preserve">previously </w:t>
      </w:r>
      <w:r w:rsidRPr="00CD60B5">
        <w:rPr>
          <w:rFonts w:ascii="Calibri" w:eastAsia="Calibri" w:hAnsi="Calibri" w:cs="Calibri"/>
          <w:sz w:val="24"/>
          <w:szCs w:val="20"/>
          <w:lang w:val="en-GB"/>
        </w:rPr>
        <w:t>exempt products are covered by Directive 2009/81, which applies</w:t>
      </w:r>
      <w:r w:rsidR="00E57EFC" w:rsidRPr="00CD60B5">
        <w:rPr>
          <w:rFonts w:ascii="Calibri" w:eastAsia="Calibri" w:hAnsi="Calibri" w:cs="Calibri"/>
          <w:sz w:val="24"/>
          <w:szCs w:val="20"/>
          <w:lang w:val="en-GB"/>
        </w:rPr>
        <w:t xml:space="preserve"> an</w:t>
      </w:r>
      <w:r w:rsidRPr="00CD60B5">
        <w:rPr>
          <w:rFonts w:ascii="Calibri" w:eastAsia="Calibri" w:hAnsi="Calibri" w:cs="Calibri"/>
          <w:sz w:val="24"/>
          <w:szCs w:val="20"/>
          <w:lang w:val="en-GB"/>
        </w:rPr>
        <w:t xml:space="preserve"> </w:t>
      </w:r>
      <w:r w:rsidR="00E57EFC" w:rsidRPr="00CD60B5">
        <w:rPr>
          <w:rFonts w:ascii="Calibri" w:eastAsia="Calibri" w:hAnsi="Calibri" w:cs="Calibri"/>
          <w:sz w:val="24"/>
          <w:szCs w:val="20"/>
          <w:lang w:val="en-GB"/>
        </w:rPr>
        <w:t xml:space="preserve">alternative, </w:t>
      </w:r>
      <w:r w:rsidRPr="00CD60B5">
        <w:rPr>
          <w:rFonts w:ascii="Calibri" w:eastAsia="Calibri" w:hAnsi="Calibri" w:cs="Calibri"/>
          <w:sz w:val="24"/>
          <w:szCs w:val="20"/>
          <w:lang w:val="en-GB"/>
        </w:rPr>
        <w:t>more flexible and confidential regime to the procurement of military supplies and related works and services</w:t>
      </w:r>
      <w:r w:rsidR="00991F04" w:rsidRPr="00CD60B5">
        <w:rPr>
          <w:rFonts w:ascii="Calibri" w:eastAsia="Calibri" w:hAnsi="Calibri" w:cs="Calibri"/>
          <w:sz w:val="24"/>
          <w:szCs w:val="20"/>
          <w:lang w:val="en-GB"/>
        </w:rPr>
        <w:t>.</w:t>
      </w:r>
      <w:r w:rsidR="004B0A0E">
        <w:rPr>
          <w:sz w:val="24"/>
          <w:lang w:val="en-GB"/>
        </w:rPr>
        <w:t xml:space="preserve"> </w:t>
      </w:r>
      <w:r w:rsidR="00991F04" w:rsidRPr="00CD60B5">
        <w:rPr>
          <w:rFonts w:ascii="Calibri" w:eastAsia="Calibri" w:hAnsi="Calibri" w:cs="Calibri"/>
          <w:sz w:val="24"/>
          <w:szCs w:val="20"/>
          <w:lang w:val="en-GB"/>
        </w:rPr>
        <w:t>T</w:t>
      </w:r>
      <w:r w:rsidR="00865648" w:rsidRPr="00CD60B5">
        <w:rPr>
          <w:rFonts w:ascii="Calibri" w:eastAsia="Calibri" w:hAnsi="Calibri" w:cs="Calibri"/>
          <w:sz w:val="24"/>
          <w:szCs w:val="20"/>
          <w:lang w:val="en-GB"/>
        </w:rPr>
        <w:t>he procurement of such products is no longer excluded from the scope of EU procurement rules.</w:t>
      </w:r>
      <w:r w:rsidR="00611C7D" w:rsidRPr="00CD60B5">
        <w:rPr>
          <w:rFonts w:ascii="Calibri" w:eastAsia="Calibri" w:hAnsi="Calibri" w:cs="Calibri"/>
          <w:sz w:val="24"/>
          <w:szCs w:val="20"/>
          <w:lang w:val="en-GB"/>
        </w:rPr>
        <w:t xml:space="preserve"> </w:t>
      </w:r>
    </w:p>
    <w:p w:rsidR="009C5713" w:rsidRPr="00CD60B5" w:rsidRDefault="009C5713"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lastRenderedPageBreak/>
        <w:t xml:space="preserve">The </w:t>
      </w:r>
      <w:r w:rsidR="00673CB0">
        <w:rPr>
          <w:rFonts w:ascii="Calibri" w:eastAsia="Calibri" w:hAnsi="Calibri" w:cs="Calibri"/>
          <w:sz w:val="24"/>
          <w:szCs w:val="20"/>
          <w:lang w:val="en-GB"/>
        </w:rPr>
        <w:t xml:space="preserve">Defence </w:t>
      </w:r>
      <w:r w:rsidRPr="00CD60B5">
        <w:rPr>
          <w:rFonts w:ascii="Calibri" w:eastAsia="Calibri" w:hAnsi="Calibri" w:cs="Calibri"/>
          <w:sz w:val="24"/>
          <w:szCs w:val="20"/>
          <w:lang w:val="en-GB"/>
        </w:rPr>
        <w:t>Directive</w:t>
      </w:r>
      <w:r w:rsidR="001165FD">
        <w:rPr>
          <w:rFonts w:ascii="Calibri" w:eastAsia="Calibri" w:hAnsi="Calibri" w:cs="Calibri"/>
          <w:sz w:val="24"/>
          <w:szCs w:val="20"/>
          <w:lang w:val="en-GB"/>
        </w:rPr>
        <w:t xml:space="preserve"> (as are other two directives)</w:t>
      </w:r>
      <w:r w:rsidRPr="00CD60B5">
        <w:rPr>
          <w:rFonts w:ascii="Calibri" w:eastAsia="Calibri" w:hAnsi="Calibri" w:cs="Calibri"/>
          <w:sz w:val="24"/>
          <w:szCs w:val="20"/>
          <w:lang w:val="en-GB"/>
        </w:rPr>
        <w:t xml:space="preserve"> </w:t>
      </w:r>
      <w:r w:rsidR="00673CB0">
        <w:rPr>
          <w:rFonts w:ascii="Calibri" w:eastAsia="Calibri" w:hAnsi="Calibri" w:cs="Calibri"/>
          <w:sz w:val="24"/>
          <w:szCs w:val="20"/>
          <w:lang w:val="en-GB"/>
        </w:rPr>
        <w:t>is</w:t>
      </w:r>
      <w:r w:rsidRPr="00CD60B5">
        <w:rPr>
          <w:rFonts w:ascii="Calibri" w:eastAsia="Calibri" w:hAnsi="Calibri" w:cs="Calibri"/>
          <w:sz w:val="24"/>
          <w:szCs w:val="20"/>
          <w:lang w:val="en-GB"/>
        </w:rPr>
        <w:t xml:space="preserve"> also subject to the exceptions provided for by the Treaty. In the context of defence, Article 346 TFEU is the most relevant Treaty-based derogation. </w:t>
      </w:r>
    </w:p>
    <w:p w:rsidR="009C5713" w:rsidRPr="00CD60B5" w:rsidRDefault="009C5713"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Article 346 TFEU allows a Member States to exempt defence and security contracts if the application of European law would undermine their essential security interests:</w:t>
      </w:r>
    </w:p>
    <w:p w:rsidR="009C5713" w:rsidRPr="00CD60B5" w:rsidRDefault="009C5713"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Article 346 (1)(a) allows EU Member States to keep secret any information the disclosure of which they consider contrary to the essential interests of their security.</w:t>
      </w:r>
    </w:p>
    <w:p w:rsidR="009C5713" w:rsidRPr="00CD60B5" w:rsidRDefault="009C5713" w:rsidP="00DB318D">
      <w:pPr>
        <w:keepNext w:val="0"/>
        <w:keepLines w:val="0"/>
        <w:numPr>
          <w:ilvl w:val="0"/>
          <w:numId w:val="2"/>
        </w:numPr>
        <w:spacing w:after="120" w:line="240" w:lineRule="auto"/>
        <w:jc w:val="both"/>
        <w:rPr>
          <w:rFonts w:ascii="Calibri" w:eastAsia="Times New Roman" w:hAnsi="Calibri" w:cs="Calibri"/>
          <w:sz w:val="24"/>
          <w:szCs w:val="24"/>
          <w:lang w:val="en-GB" w:eastAsia="hr-HR"/>
        </w:rPr>
      </w:pPr>
      <w:r w:rsidRPr="00CD60B5">
        <w:rPr>
          <w:rFonts w:ascii="Calibri" w:eastAsia="Times New Roman" w:hAnsi="Calibri" w:cs="Calibri"/>
          <w:sz w:val="24"/>
          <w:szCs w:val="24"/>
          <w:lang w:val="en-GB" w:eastAsia="hr-HR"/>
        </w:rPr>
        <w:t xml:space="preserve">Article 346 (1)(b) allows EU </w:t>
      </w:r>
      <w:r w:rsidRPr="00CD60B5">
        <w:rPr>
          <w:rFonts w:ascii="Calibri" w:eastAsia="Calibri" w:hAnsi="Calibri" w:cs="Calibri"/>
          <w:sz w:val="24"/>
          <w:szCs w:val="20"/>
          <w:lang w:val="en-GB"/>
        </w:rPr>
        <w:t xml:space="preserve">Member States </w:t>
      </w:r>
      <w:r w:rsidRPr="00CD60B5">
        <w:rPr>
          <w:rFonts w:ascii="Calibri" w:eastAsia="Times New Roman" w:hAnsi="Calibri" w:cs="Calibri"/>
          <w:sz w:val="24"/>
          <w:szCs w:val="24"/>
          <w:lang w:val="en-GB" w:eastAsia="hr-HR"/>
        </w:rPr>
        <w:t xml:space="preserve">to take measures they consider necessary for the protection of their essential security interests in connection with the production of or trade in arms, munitions and war material (specified in the </w:t>
      </w:r>
      <w:r w:rsidR="008C0486">
        <w:rPr>
          <w:sz w:val="24"/>
          <w:lang w:val="en-GB"/>
        </w:rPr>
        <w:t>Council</w:t>
      </w:r>
      <w:r w:rsidR="008C0486" w:rsidRPr="00171B31">
        <w:rPr>
          <w:sz w:val="24"/>
          <w:lang w:val="en-GB"/>
        </w:rPr>
        <w:t xml:space="preserve"> Decision 255/58 of 15 April 1958</w:t>
      </w:r>
      <w:r w:rsidR="008C0486">
        <w:rPr>
          <w:rStyle w:val="FootnoteReference"/>
          <w:sz w:val="24"/>
        </w:rPr>
        <w:footnoteReference w:id="4"/>
      </w:r>
      <w:r w:rsidRPr="00CD60B5">
        <w:rPr>
          <w:rFonts w:ascii="Calibri" w:eastAsia="Times New Roman" w:hAnsi="Calibri" w:cs="Calibri"/>
          <w:sz w:val="24"/>
          <w:szCs w:val="24"/>
          <w:lang w:val="en-GB" w:eastAsia="hr-HR"/>
        </w:rPr>
        <w:t xml:space="preserve">). Measures taken under Article 346 (1)(b) may not adversely affect competition on the common market for products not specifically intended for military purposes. </w:t>
      </w:r>
    </w:p>
    <w:p w:rsidR="009C5713" w:rsidRPr="00CD60B5" w:rsidRDefault="009C5713"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The Treaty contains strict conditions for the use of derogation under Article 346, balancing Member States’ security interests with EU principles and objectives. According to the European Court of Justice (ECJ), the use of the derogation must be limited to clearly defined and exceptional cases and interpreted in a restrictive way.</w:t>
      </w:r>
      <w:r w:rsidRPr="00CD60B5">
        <w:rPr>
          <w:lang w:val="en-GB"/>
        </w:rPr>
        <w:t xml:space="preserve"> </w:t>
      </w:r>
      <w:r w:rsidRPr="00CD60B5">
        <w:rPr>
          <w:rFonts w:ascii="Calibri" w:eastAsia="Calibri" w:hAnsi="Calibri" w:cs="Calibri"/>
          <w:sz w:val="24"/>
          <w:szCs w:val="20"/>
          <w:lang w:val="en-GB"/>
        </w:rPr>
        <w:t>Exemption must be necessary for the protection of a Member State’s essential security interests (i.e. interests vital to the country's military capabilities, not economic interests).</w:t>
      </w:r>
    </w:p>
    <w:p w:rsidR="009C5713" w:rsidRPr="00CD60B5" w:rsidRDefault="009E17E3"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I</w:t>
      </w:r>
      <w:r w:rsidR="009C5713" w:rsidRPr="00CD60B5">
        <w:rPr>
          <w:rFonts w:ascii="Calibri" w:eastAsia="Calibri" w:hAnsi="Calibri" w:cs="Calibri"/>
          <w:sz w:val="24"/>
          <w:szCs w:val="20"/>
          <w:lang w:val="en-GB"/>
        </w:rPr>
        <w:t xml:space="preserve">f a Member State intends to rely on Article 346 TFEU to award a contract covered by the Defence Directive (or by </w:t>
      </w:r>
      <w:r w:rsidR="0016548B">
        <w:rPr>
          <w:rFonts w:ascii="Calibri" w:eastAsia="Calibri" w:hAnsi="Calibri" w:cs="Calibri"/>
          <w:sz w:val="24"/>
          <w:szCs w:val="20"/>
          <w:lang w:val="en-GB"/>
        </w:rPr>
        <w:t xml:space="preserve">the </w:t>
      </w:r>
      <w:r w:rsidR="009C5713" w:rsidRPr="00CD60B5">
        <w:rPr>
          <w:rFonts w:ascii="Calibri" w:eastAsia="Calibri" w:hAnsi="Calibri" w:cs="Calibri"/>
          <w:sz w:val="24"/>
          <w:szCs w:val="20"/>
          <w:lang w:val="en-GB"/>
        </w:rPr>
        <w:t xml:space="preserve">Public Sector or </w:t>
      </w:r>
      <w:r w:rsidR="00DD22FB">
        <w:rPr>
          <w:rFonts w:ascii="Calibri" w:eastAsia="Calibri" w:hAnsi="Calibri" w:cs="Calibri"/>
          <w:sz w:val="24"/>
          <w:szCs w:val="20"/>
          <w:lang w:val="en-GB"/>
        </w:rPr>
        <w:t xml:space="preserve">the </w:t>
      </w:r>
      <w:r w:rsidR="009C5713" w:rsidRPr="00CD60B5">
        <w:rPr>
          <w:rFonts w:ascii="Calibri" w:eastAsia="Calibri" w:hAnsi="Calibri" w:cs="Calibri"/>
          <w:sz w:val="24"/>
          <w:szCs w:val="20"/>
          <w:lang w:val="en-GB"/>
        </w:rPr>
        <w:t xml:space="preserve">Utilities Directive) without observing the procedural requirements laid down by those Directives, it must ensure that the measure chosen </w:t>
      </w:r>
      <w:r w:rsidRPr="00CD60B5">
        <w:rPr>
          <w:rFonts w:ascii="Calibri" w:eastAsia="Calibri" w:hAnsi="Calibri" w:cs="Calibri"/>
          <w:sz w:val="24"/>
          <w:szCs w:val="20"/>
          <w:lang w:val="en-GB"/>
        </w:rPr>
        <w:t>(</w:t>
      </w:r>
      <w:r w:rsidR="009C5713" w:rsidRPr="00CD60B5">
        <w:rPr>
          <w:rFonts w:ascii="Calibri" w:eastAsia="Calibri" w:hAnsi="Calibri" w:cs="Calibri"/>
          <w:sz w:val="24"/>
          <w:szCs w:val="20"/>
          <w:lang w:val="en-GB"/>
        </w:rPr>
        <w:t>for example the direct award of the contract to a specific economic operator</w:t>
      </w:r>
      <w:r w:rsidRPr="00CD60B5">
        <w:rPr>
          <w:rFonts w:ascii="Calibri" w:eastAsia="Calibri" w:hAnsi="Calibri" w:cs="Calibri"/>
          <w:sz w:val="24"/>
          <w:szCs w:val="20"/>
          <w:lang w:val="en-GB"/>
        </w:rPr>
        <w:t>)</w:t>
      </w:r>
      <w:r w:rsidR="009C5713" w:rsidRPr="00CD60B5">
        <w:rPr>
          <w:rFonts w:ascii="Calibri" w:eastAsia="Calibri" w:hAnsi="Calibri" w:cs="Calibri"/>
          <w:sz w:val="24"/>
          <w:szCs w:val="20"/>
          <w:lang w:val="en-GB"/>
        </w:rPr>
        <w:t xml:space="preserve"> is necessary in order to protect its essential security interest.</w:t>
      </w:r>
    </w:p>
    <w:p w:rsidR="009C5713" w:rsidRPr="00CD60B5" w:rsidRDefault="009C5713"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In this context, </w:t>
      </w:r>
      <w:r w:rsidR="008C0486">
        <w:rPr>
          <w:rFonts w:ascii="Calibri" w:eastAsia="Calibri" w:hAnsi="Calibri" w:cs="Calibri"/>
          <w:sz w:val="24"/>
          <w:szCs w:val="20"/>
          <w:lang w:val="en-GB"/>
        </w:rPr>
        <w:t xml:space="preserve">the </w:t>
      </w:r>
      <w:r w:rsidRPr="00CD60B5">
        <w:rPr>
          <w:rFonts w:ascii="Calibri" w:eastAsia="Calibri" w:hAnsi="Calibri" w:cs="Calibri"/>
          <w:sz w:val="24"/>
          <w:szCs w:val="20"/>
          <w:lang w:val="en-GB"/>
        </w:rPr>
        <w:t>Defence Directive</w:t>
      </w:r>
      <w:r w:rsidR="008C0486">
        <w:rPr>
          <w:rFonts w:ascii="Calibri" w:eastAsia="Calibri" w:hAnsi="Calibri" w:cs="Calibri"/>
          <w:sz w:val="24"/>
          <w:szCs w:val="20"/>
          <w:lang w:val="en-GB"/>
        </w:rPr>
        <w:t xml:space="preserve"> is a </w:t>
      </w:r>
      <w:r w:rsidRPr="00CD60B5">
        <w:rPr>
          <w:rFonts w:ascii="Calibri" w:eastAsia="Calibri" w:hAnsi="Calibri" w:cs="Calibri"/>
          <w:sz w:val="24"/>
          <w:szCs w:val="20"/>
          <w:lang w:val="en-GB"/>
        </w:rPr>
        <w:t xml:space="preserve">legal instrument that has been specifically created to meet the specific needs and requirements of defence and security procurement. However, there may still be contracts which, for example, necessitate such extremely demanding requirements in terms of security of supply, or which are so confidential and/or important for national sovereignty, that even the specific provisions of </w:t>
      </w:r>
      <w:r w:rsidR="00DD22FB">
        <w:rPr>
          <w:rFonts w:ascii="Calibri" w:eastAsia="Calibri" w:hAnsi="Calibri" w:cs="Calibri"/>
          <w:sz w:val="24"/>
          <w:szCs w:val="20"/>
          <w:lang w:val="en-GB"/>
        </w:rPr>
        <w:t xml:space="preserve">the </w:t>
      </w:r>
      <w:r w:rsidRPr="00CD60B5">
        <w:rPr>
          <w:rFonts w:ascii="Calibri" w:eastAsia="Calibri" w:hAnsi="Calibri" w:cs="Calibri"/>
          <w:sz w:val="24"/>
          <w:szCs w:val="20"/>
          <w:lang w:val="en-GB"/>
        </w:rPr>
        <w:t>Defence Directive would not be sufficient to safeguard a Member State's essential security interests.</w:t>
      </w:r>
    </w:p>
    <w:p w:rsidR="009C5713" w:rsidRPr="00CD60B5" w:rsidRDefault="009C5713"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It follows that the contract award procedures provided for in </w:t>
      </w:r>
      <w:r w:rsidR="00DD22FB">
        <w:rPr>
          <w:rFonts w:ascii="Calibri" w:eastAsia="Calibri" w:hAnsi="Calibri" w:cs="Calibri"/>
          <w:sz w:val="24"/>
          <w:szCs w:val="20"/>
          <w:lang w:val="en-GB"/>
        </w:rPr>
        <w:t xml:space="preserve">the </w:t>
      </w:r>
      <w:r w:rsidRPr="00CD60B5">
        <w:rPr>
          <w:rFonts w:ascii="Calibri" w:eastAsia="Calibri" w:hAnsi="Calibri" w:cs="Calibri"/>
          <w:sz w:val="24"/>
          <w:szCs w:val="20"/>
          <w:lang w:val="en-GB"/>
        </w:rPr>
        <w:t>Defence Directive should be considered as the standard procedures for defence and sensitive security procurement, and that recourse to Article 346 TFEU should be limited to clearly exceptional cases.</w:t>
      </w:r>
    </w:p>
    <w:p w:rsidR="007C4D77" w:rsidRPr="006F7DB7" w:rsidRDefault="007C4D77" w:rsidP="00DB318D">
      <w:pPr>
        <w:pStyle w:val="Heading3"/>
        <w:keepNext w:val="0"/>
        <w:keepLines w:val="0"/>
        <w:rPr>
          <w:rFonts w:eastAsia="Calibri"/>
          <w:lang w:val="en-GB"/>
        </w:rPr>
      </w:pPr>
      <w:bookmarkStart w:id="11" w:name="_Toc419719679"/>
      <w:r w:rsidRPr="006F7DB7">
        <w:rPr>
          <w:rFonts w:eastAsia="Calibri"/>
          <w:lang w:val="en-GB"/>
        </w:rPr>
        <w:t>Options for Serbia</w:t>
      </w:r>
      <w:bookmarkEnd w:id="11"/>
    </w:p>
    <w:p w:rsidR="004B0A0E" w:rsidRPr="00CD60B5" w:rsidRDefault="004B0A0E" w:rsidP="00DB318D">
      <w:pPr>
        <w:keepNext w:val="0"/>
        <w:keepLines w:val="0"/>
        <w:spacing w:after="120" w:line="240" w:lineRule="auto"/>
        <w:jc w:val="both"/>
        <w:rPr>
          <w:sz w:val="24"/>
          <w:lang w:val="en-GB"/>
        </w:rPr>
      </w:pPr>
      <w:r w:rsidRPr="00CD60B5">
        <w:rPr>
          <w:sz w:val="24"/>
          <w:lang w:val="en-GB"/>
        </w:rPr>
        <w:t>The Defence Directive establishes procurement rules specifically adapted to meet the concerns of Member States about the sensitive nature of procurements in the defence and security sectors</w:t>
      </w:r>
      <w:r>
        <w:rPr>
          <w:sz w:val="24"/>
          <w:lang w:val="en-GB"/>
        </w:rPr>
        <w:t>. It is</w:t>
      </w:r>
      <w:r w:rsidRPr="00CD60B5">
        <w:rPr>
          <w:sz w:val="24"/>
          <w:lang w:val="en-GB"/>
        </w:rPr>
        <w:t xml:space="preserve"> intended to address concerns that the Public Sector and </w:t>
      </w:r>
      <w:r w:rsidR="00DD22FB">
        <w:rPr>
          <w:sz w:val="24"/>
          <w:lang w:val="en-GB"/>
        </w:rPr>
        <w:t xml:space="preserve">the </w:t>
      </w:r>
      <w:r w:rsidRPr="00CD60B5">
        <w:rPr>
          <w:sz w:val="24"/>
          <w:lang w:val="en-GB"/>
        </w:rPr>
        <w:t xml:space="preserve">Utilities Directives do not always permit the acquisition of military or sensitive security </w:t>
      </w:r>
      <w:r w:rsidR="008C0486">
        <w:rPr>
          <w:sz w:val="24"/>
          <w:lang w:val="en-GB"/>
        </w:rPr>
        <w:t>supplies, works or services</w:t>
      </w:r>
      <w:r w:rsidRPr="00CD60B5">
        <w:rPr>
          <w:sz w:val="24"/>
          <w:lang w:val="en-GB"/>
        </w:rPr>
        <w:t xml:space="preserve"> as effectively as they could, or deal explicitly with key requirements for acquisitions such as security of information. </w:t>
      </w:r>
    </w:p>
    <w:p w:rsidR="00CD60B5" w:rsidRPr="00CD60B5" w:rsidRDefault="007325C8" w:rsidP="00DB318D">
      <w:pPr>
        <w:keepNext w:val="0"/>
        <w:keepLines w:val="0"/>
        <w:spacing w:after="120" w:line="240" w:lineRule="auto"/>
        <w:jc w:val="both"/>
        <w:rPr>
          <w:sz w:val="24"/>
          <w:lang w:val="en-GB"/>
        </w:rPr>
      </w:pPr>
      <w:r w:rsidRPr="00CD60B5">
        <w:rPr>
          <w:sz w:val="24"/>
          <w:lang w:val="en-GB"/>
        </w:rPr>
        <w:lastRenderedPageBreak/>
        <w:t>The</w:t>
      </w:r>
      <w:r w:rsidR="004B0A0E">
        <w:rPr>
          <w:sz w:val="24"/>
          <w:lang w:val="en-GB"/>
        </w:rPr>
        <w:t>refore, the</w:t>
      </w:r>
      <w:r w:rsidRPr="00CD60B5">
        <w:rPr>
          <w:sz w:val="24"/>
          <w:lang w:val="en-GB"/>
        </w:rPr>
        <w:t xml:space="preserve"> </w:t>
      </w:r>
      <w:r w:rsidR="009E12A5" w:rsidRPr="00CD60B5">
        <w:rPr>
          <w:sz w:val="24"/>
          <w:lang w:val="en-GB"/>
        </w:rPr>
        <w:t>Defence</w:t>
      </w:r>
      <w:r w:rsidRPr="00CD60B5">
        <w:rPr>
          <w:sz w:val="24"/>
          <w:lang w:val="en-GB"/>
        </w:rPr>
        <w:t xml:space="preserve"> Directive provides Member States with common defence and sensitive security procurement rules, such as security of information and security of supply, which take account of the special features of those markets. </w:t>
      </w:r>
    </w:p>
    <w:p w:rsidR="00153F5E" w:rsidRDefault="007325C8" w:rsidP="00DB318D">
      <w:pPr>
        <w:keepNext w:val="0"/>
        <w:keepLines w:val="0"/>
        <w:spacing w:after="120" w:line="240" w:lineRule="auto"/>
        <w:jc w:val="both"/>
        <w:rPr>
          <w:sz w:val="24"/>
          <w:lang w:val="en-GB"/>
        </w:rPr>
      </w:pPr>
      <w:r w:rsidRPr="00CD60B5">
        <w:rPr>
          <w:sz w:val="24"/>
          <w:lang w:val="en-GB"/>
        </w:rPr>
        <w:t xml:space="preserve">The </w:t>
      </w:r>
      <w:r w:rsidR="009E12A5" w:rsidRPr="00CD60B5">
        <w:rPr>
          <w:sz w:val="24"/>
          <w:lang w:val="en-GB"/>
        </w:rPr>
        <w:t xml:space="preserve">Defence </w:t>
      </w:r>
      <w:r w:rsidRPr="00CD60B5">
        <w:rPr>
          <w:sz w:val="24"/>
          <w:lang w:val="en-GB"/>
        </w:rPr>
        <w:t xml:space="preserve">Directive is largely based on the </w:t>
      </w:r>
      <w:r w:rsidR="000F1A48" w:rsidRPr="00CD60B5">
        <w:rPr>
          <w:sz w:val="24"/>
          <w:lang w:val="en-GB"/>
        </w:rPr>
        <w:t xml:space="preserve">Public Sector </w:t>
      </w:r>
      <w:r w:rsidRPr="00CD60B5">
        <w:rPr>
          <w:sz w:val="24"/>
          <w:szCs w:val="24"/>
          <w:lang w:val="en-GB"/>
        </w:rPr>
        <w:t>Directive</w:t>
      </w:r>
      <w:r w:rsidR="000F1A48" w:rsidRPr="00CD60B5">
        <w:rPr>
          <w:sz w:val="24"/>
          <w:szCs w:val="24"/>
          <w:lang w:val="en-GB"/>
        </w:rPr>
        <w:t xml:space="preserve"> and the provisions of the Remedies Directive</w:t>
      </w:r>
      <w:r w:rsidR="004B0A0E">
        <w:rPr>
          <w:sz w:val="24"/>
          <w:szCs w:val="24"/>
          <w:lang w:val="en-GB"/>
        </w:rPr>
        <w:t>s</w:t>
      </w:r>
      <w:r w:rsidR="000F1A48" w:rsidRPr="00CD60B5">
        <w:rPr>
          <w:sz w:val="24"/>
          <w:szCs w:val="24"/>
          <w:lang w:val="en-GB"/>
        </w:rPr>
        <w:t xml:space="preserve"> are largely replicated in the articles of the Defence Directive</w:t>
      </w:r>
      <w:r w:rsidRPr="00CD60B5">
        <w:rPr>
          <w:sz w:val="24"/>
          <w:lang w:val="en-GB"/>
        </w:rPr>
        <w:t>.</w:t>
      </w:r>
      <w:r w:rsidR="00AB75D9" w:rsidRPr="00CD60B5">
        <w:rPr>
          <w:lang w:val="en-GB"/>
        </w:rPr>
        <w:t xml:space="preserve"> </w:t>
      </w:r>
      <w:r w:rsidRPr="00CD60B5">
        <w:rPr>
          <w:sz w:val="24"/>
          <w:lang w:val="en-GB"/>
        </w:rPr>
        <w:t>Its scope also extends to contracting entities to which the Utilities Directive applies if they procure equipment, works or services which are for security purposes and involve, require or contain classified information.</w:t>
      </w:r>
    </w:p>
    <w:p w:rsidR="00CD60B5" w:rsidRPr="00CD60B5" w:rsidRDefault="000F1A48" w:rsidP="00DB318D">
      <w:pPr>
        <w:keepNext w:val="0"/>
        <w:keepLines w:val="0"/>
        <w:spacing w:after="120" w:line="240" w:lineRule="auto"/>
        <w:jc w:val="both"/>
        <w:rPr>
          <w:sz w:val="24"/>
          <w:lang w:val="en-GB"/>
        </w:rPr>
      </w:pPr>
      <w:r w:rsidRPr="00CD60B5">
        <w:rPr>
          <w:sz w:val="24"/>
          <w:lang w:val="en-GB"/>
        </w:rPr>
        <w:t>The Defence Directive also introduces a number of provisions concerning the award of public contracts in the defence and security fields which are either new, or are adaptations of the provisions which exist in the Public Sector Directive, in particular:</w:t>
      </w:r>
    </w:p>
    <w:p w:rsidR="00CD60B5" w:rsidRPr="00CD60B5" w:rsidRDefault="00AB75D9" w:rsidP="00DB318D">
      <w:pPr>
        <w:pStyle w:val="ListParagraph"/>
        <w:keepNext w:val="0"/>
        <w:keepLines w:val="0"/>
        <w:numPr>
          <w:ilvl w:val="0"/>
          <w:numId w:val="7"/>
        </w:numPr>
        <w:spacing w:after="120" w:line="240" w:lineRule="auto"/>
        <w:ind w:left="714" w:hanging="357"/>
        <w:contextualSpacing w:val="0"/>
        <w:jc w:val="both"/>
        <w:rPr>
          <w:sz w:val="24"/>
          <w:szCs w:val="24"/>
          <w:lang w:val="en-GB"/>
        </w:rPr>
      </w:pPr>
      <w:r w:rsidRPr="00CD60B5">
        <w:rPr>
          <w:sz w:val="24"/>
          <w:szCs w:val="24"/>
          <w:lang w:val="en-GB"/>
        </w:rPr>
        <w:t>financial thresholds triggering application of the Regulations are higher</w:t>
      </w:r>
      <w:r w:rsidR="004B0A0E" w:rsidRPr="004B0A0E">
        <w:rPr>
          <w:lang w:val="en-GB"/>
        </w:rPr>
        <w:t xml:space="preserve"> </w:t>
      </w:r>
      <w:r w:rsidR="004B0A0E">
        <w:rPr>
          <w:lang w:val="en-GB"/>
        </w:rPr>
        <w:t>(they are</w:t>
      </w:r>
      <w:r w:rsidR="004B0A0E" w:rsidRPr="00CD60B5">
        <w:rPr>
          <w:sz w:val="24"/>
          <w:lang w:val="en-GB"/>
        </w:rPr>
        <w:t xml:space="preserve"> aligned with those under the Utilities Directive</w:t>
      </w:r>
      <w:r w:rsidR="004B0A0E">
        <w:rPr>
          <w:sz w:val="24"/>
          <w:lang w:val="en-GB"/>
        </w:rPr>
        <w:t>)</w:t>
      </w:r>
    </w:p>
    <w:p w:rsidR="00CD60B5" w:rsidRPr="00CD60B5" w:rsidRDefault="000F1A48" w:rsidP="00DB318D">
      <w:pPr>
        <w:pStyle w:val="ListParagraph"/>
        <w:keepNext w:val="0"/>
        <w:keepLines w:val="0"/>
        <w:numPr>
          <w:ilvl w:val="0"/>
          <w:numId w:val="7"/>
        </w:numPr>
        <w:spacing w:after="120" w:line="240" w:lineRule="auto"/>
        <w:ind w:left="714" w:hanging="357"/>
        <w:contextualSpacing w:val="0"/>
        <w:jc w:val="both"/>
        <w:rPr>
          <w:sz w:val="24"/>
          <w:szCs w:val="24"/>
          <w:lang w:val="en-GB"/>
        </w:rPr>
      </w:pPr>
      <w:r w:rsidRPr="00CD60B5">
        <w:rPr>
          <w:sz w:val="24"/>
          <w:szCs w:val="24"/>
          <w:lang w:val="en-GB"/>
        </w:rPr>
        <w:t>default procedures are the negotiated with prior publication of contract notice and the restricted procedure. The competitive dialogue procedure can be used for particularly complex contracts where the default procedures are not sufficie</w:t>
      </w:r>
      <w:r w:rsidR="00CD60B5" w:rsidRPr="00CD60B5">
        <w:rPr>
          <w:sz w:val="24"/>
          <w:szCs w:val="24"/>
          <w:lang w:val="en-GB"/>
        </w:rPr>
        <w:t>nt</w:t>
      </w:r>
    </w:p>
    <w:p w:rsidR="00CD60B5" w:rsidRPr="00CD60B5" w:rsidRDefault="00AB75D9" w:rsidP="00DB318D">
      <w:pPr>
        <w:pStyle w:val="ListParagraph"/>
        <w:keepNext w:val="0"/>
        <w:keepLines w:val="0"/>
        <w:numPr>
          <w:ilvl w:val="0"/>
          <w:numId w:val="7"/>
        </w:numPr>
        <w:spacing w:after="120" w:line="240" w:lineRule="auto"/>
        <w:ind w:left="714" w:hanging="357"/>
        <w:contextualSpacing w:val="0"/>
        <w:jc w:val="both"/>
        <w:rPr>
          <w:sz w:val="24"/>
          <w:szCs w:val="24"/>
          <w:lang w:val="en-GB"/>
        </w:rPr>
      </w:pPr>
      <w:r w:rsidRPr="00CD60B5">
        <w:rPr>
          <w:sz w:val="24"/>
          <w:szCs w:val="24"/>
          <w:lang w:val="en-GB"/>
        </w:rPr>
        <w:t>s</w:t>
      </w:r>
      <w:r w:rsidR="000F1A48" w:rsidRPr="00CD60B5">
        <w:rPr>
          <w:sz w:val="24"/>
          <w:szCs w:val="24"/>
          <w:lang w:val="en-GB"/>
        </w:rPr>
        <w:t>pecific provisions on security of information are included which ensure that sensitive information will remain protec</w:t>
      </w:r>
      <w:r w:rsidR="00CD60B5" w:rsidRPr="00CD60B5">
        <w:rPr>
          <w:sz w:val="24"/>
          <w:szCs w:val="24"/>
          <w:lang w:val="en-GB"/>
        </w:rPr>
        <w:t>ted against unauthorised access</w:t>
      </w:r>
    </w:p>
    <w:p w:rsidR="00CD60B5" w:rsidRPr="00CD60B5" w:rsidRDefault="00AB75D9" w:rsidP="00DB318D">
      <w:pPr>
        <w:pStyle w:val="ListParagraph"/>
        <w:keepNext w:val="0"/>
        <w:keepLines w:val="0"/>
        <w:numPr>
          <w:ilvl w:val="0"/>
          <w:numId w:val="7"/>
        </w:numPr>
        <w:spacing w:after="120" w:line="240" w:lineRule="auto"/>
        <w:ind w:left="714" w:hanging="357"/>
        <w:contextualSpacing w:val="0"/>
        <w:jc w:val="both"/>
        <w:rPr>
          <w:sz w:val="24"/>
          <w:szCs w:val="24"/>
          <w:lang w:val="en-GB"/>
        </w:rPr>
      </w:pPr>
      <w:r w:rsidRPr="00CD60B5">
        <w:rPr>
          <w:sz w:val="24"/>
          <w:szCs w:val="24"/>
          <w:lang w:val="en-GB"/>
        </w:rPr>
        <w:t>s</w:t>
      </w:r>
      <w:r w:rsidR="000F1A48" w:rsidRPr="00CD60B5">
        <w:rPr>
          <w:sz w:val="24"/>
          <w:szCs w:val="24"/>
          <w:lang w:val="en-GB"/>
        </w:rPr>
        <w:t xml:space="preserve">pecial clauses on security of supply will provide contracting authorities/entities with greater certainty that equipment, works or services can be delivered, in particular in times </w:t>
      </w:r>
      <w:r w:rsidR="00CD60B5" w:rsidRPr="00CD60B5">
        <w:rPr>
          <w:sz w:val="24"/>
          <w:szCs w:val="24"/>
          <w:lang w:val="en-GB"/>
        </w:rPr>
        <w:t>of crisis or armed conflict</w:t>
      </w:r>
    </w:p>
    <w:p w:rsidR="00CD60B5" w:rsidRPr="00CD60B5" w:rsidRDefault="00AB75D9" w:rsidP="00DB318D">
      <w:pPr>
        <w:pStyle w:val="ListParagraph"/>
        <w:keepNext w:val="0"/>
        <w:keepLines w:val="0"/>
        <w:numPr>
          <w:ilvl w:val="0"/>
          <w:numId w:val="7"/>
        </w:numPr>
        <w:spacing w:after="120" w:line="240" w:lineRule="auto"/>
        <w:ind w:left="714" w:hanging="357"/>
        <w:contextualSpacing w:val="0"/>
        <w:jc w:val="both"/>
        <w:rPr>
          <w:sz w:val="24"/>
          <w:szCs w:val="24"/>
          <w:lang w:val="en-GB"/>
        </w:rPr>
      </w:pPr>
      <w:r w:rsidRPr="00CD60B5">
        <w:rPr>
          <w:sz w:val="24"/>
          <w:szCs w:val="24"/>
          <w:lang w:val="en-GB"/>
        </w:rPr>
        <w:t>contracting authorities/entities can exclude bidders who have been found not to be sufficiently reliable to be entrusted with security-sensitive in</w:t>
      </w:r>
      <w:r w:rsidR="00CD60B5" w:rsidRPr="00CD60B5">
        <w:rPr>
          <w:sz w:val="24"/>
          <w:szCs w:val="24"/>
          <w:lang w:val="en-GB"/>
        </w:rPr>
        <w:t>formation</w:t>
      </w:r>
    </w:p>
    <w:p w:rsidR="00CD60B5" w:rsidRPr="00CD60B5" w:rsidRDefault="00AB75D9" w:rsidP="00DB318D">
      <w:pPr>
        <w:pStyle w:val="ListParagraph"/>
        <w:keepNext w:val="0"/>
        <w:keepLines w:val="0"/>
        <w:numPr>
          <w:ilvl w:val="0"/>
          <w:numId w:val="7"/>
        </w:numPr>
        <w:spacing w:after="120" w:line="240" w:lineRule="auto"/>
        <w:ind w:left="714" w:hanging="357"/>
        <w:contextualSpacing w:val="0"/>
        <w:jc w:val="both"/>
        <w:rPr>
          <w:sz w:val="24"/>
          <w:szCs w:val="24"/>
          <w:lang w:val="en-GB"/>
        </w:rPr>
      </w:pPr>
      <w:r w:rsidRPr="00CD60B5">
        <w:rPr>
          <w:sz w:val="24"/>
          <w:szCs w:val="24"/>
          <w:lang w:val="en-GB"/>
        </w:rPr>
        <w:t>contracting authorities/entities can use stringent criteria to ensure continuity of supply</w:t>
      </w:r>
    </w:p>
    <w:p w:rsidR="00CD60B5" w:rsidRPr="00CD60B5" w:rsidRDefault="00AB75D9" w:rsidP="00DB318D">
      <w:pPr>
        <w:pStyle w:val="ListParagraph"/>
        <w:keepNext w:val="0"/>
        <w:keepLines w:val="0"/>
        <w:numPr>
          <w:ilvl w:val="0"/>
          <w:numId w:val="7"/>
        </w:numPr>
        <w:spacing w:after="120" w:line="240" w:lineRule="auto"/>
        <w:ind w:left="714" w:hanging="357"/>
        <w:contextualSpacing w:val="0"/>
        <w:jc w:val="both"/>
        <w:rPr>
          <w:sz w:val="24"/>
          <w:szCs w:val="24"/>
          <w:lang w:val="en-GB"/>
        </w:rPr>
      </w:pPr>
      <w:r w:rsidRPr="00CD60B5">
        <w:rPr>
          <w:sz w:val="24"/>
          <w:szCs w:val="24"/>
          <w:lang w:val="en-GB"/>
        </w:rPr>
        <w:t>s</w:t>
      </w:r>
      <w:r w:rsidR="000F1A48" w:rsidRPr="00CD60B5">
        <w:rPr>
          <w:sz w:val="24"/>
          <w:szCs w:val="24"/>
          <w:lang w:val="en-GB"/>
        </w:rPr>
        <w:t>pecial rules on sub-contracting make it possible for contracting authorities/entities to require competitive procurements for sub-contractors on an EU-wide basis, potentially improving market access for small and medium-sized enterprises (SMEs)</w:t>
      </w:r>
    </w:p>
    <w:p w:rsidR="00CD60B5" w:rsidRPr="00CD60B5" w:rsidRDefault="00AB75D9" w:rsidP="00DB318D">
      <w:pPr>
        <w:pStyle w:val="ListParagraph"/>
        <w:keepNext w:val="0"/>
        <w:keepLines w:val="0"/>
        <w:numPr>
          <w:ilvl w:val="0"/>
          <w:numId w:val="7"/>
        </w:numPr>
        <w:spacing w:after="120" w:line="240" w:lineRule="auto"/>
        <w:ind w:left="714" w:hanging="357"/>
        <w:contextualSpacing w:val="0"/>
        <w:jc w:val="both"/>
        <w:rPr>
          <w:sz w:val="24"/>
          <w:szCs w:val="24"/>
          <w:lang w:val="en-GB"/>
        </w:rPr>
      </w:pPr>
      <w:r w:rsidRPr="00CD60B5">
        <w:rPr>
          <w:sz w:val="24"/>
          <w:szCs w:val="24"/>
          <w:lang w:val="en-GB"/>
        </w:rPr>
        <w:t xml:space="preserve">framework </w:t>
      </w:r>
      <w:r w:rsidR="000A664F">
        <w:rPr>
          <w:sz w:val="24"/>
          <w:szCs w:val="24"/>
          <w:lang w:val="en-GB"/>
        </w:rPr>
        <w:t>agreements</w:t>
      </w:r>
      <w:r w:rsidRPr="00CD60B5">
        <w:rPr>
          <w:sz w:val="24"/>
          <w:szCs w:val="24"/>
          <w:lang w:val="en-GB"/>
        </w:rPr>
        <w:t xml:space="preserve"> can be </w:t>
      </w:r>
      <w:r w:rsidR="005045B5">
        <w:rPr>
          <w:sz w:val="24"/>
          <w:szCs w:val="24"/>
          <w:lang w:val="en-GB"/>
        </w:rPr>
        <w:t>last</w:t>
      </w:r>
      <w:r w:rsidR="005045B5" w:rsidRPr="00CD60B5">
        <w:rPr>
          <w:sz w:val="24"/>
          <w:szCs w:val="24"/>
          <w:lang w:val="en-GB"/>
        </w:rPr>
        <w:t xml:space="preserve"> </w:t>
      </w:r>
      <w:r w:rsidRPr="00CD60B5">
        <w:rPr>
          <w:sz w:val="24"/>
          <w:szCs w:val="24"/>
          <w:lang w:val="en-GB"/>
        </w:rPr>
        <w:t>for 7 years as compared with a 4 year maximum under the Public Sector Directive</w:t>
      </w:r>
      <w:r w:rsidR="00CD60B5" w:rsidRPr="00CD60B5">
        <w:rPr>
          <w:sz w:val="24"/>
          <w:szCs w:val="24"/>
          <w:lang w:val="en-GB"/>
        </w:rPr>
        <w:t>.</w:t>
      </w:r>
    </w:p>
    <w:p w:rsidR="007C4D77" w:rsidRDefault="007C4D77" w:rsidP="00DB318D">
      <w:pPr>
        <w:keepNext w:val="0"/>
        <w:keepLines w:val="0"/>
        <w:spacing w:after="120" w:line="240" w:lineRule="auto"/>
        <w:jc w:val="both"/>
        <w:rPr>
          <w:sz w:val="24"/>
          <w:lang w:val="en-GB"/>
        </w:rPr>
      </w:pPr>
      <w:r w:rsidRPr="007C4D77">
        <w:rPr>
          <w:sz w:val="24"/>
          <w:lang w:val="en-GB"/>
        </w:rPr>
        <w:t xml:space="preserve">The </w:t>
      </w:r>
      <w:r>
        <w:rPr>
          <w:sz w:val="24"/>
          <w:lang w:val="en-GB"/>
        </w:rPr>
        <w:t xml:space="preserve">Defence </w:t>
      </w:r>
      <w:r w:rsidRPr="007C4D77">
        <w:rPr>
          <w:sz w:val="24"/>
          <w:lang w:val="en-GB"/>
        </w:rPr>
        <w:t xml:space="preserve">Directive includes a comprehensive set of provisions aimed at making effective means of </w:t>
      </w:r>
      <w:r>
        <w:rPr>
          <w:sz w:val="24"/>
          <w:lang w:val="en-GB"/>
        </w:rPr>
        <w:t>remedies</w:t>
      </w:r>
      <w:r w:rsidRPr="007C4D77">
        <w:rPr>
          <w:sz w:val="24"/>
          <w:lang w:val="en-GB"/>
        </w:rPr>
        <w:t xml:space="preserve"> available to aggrieved bidders. These provisions are based on </w:t>
      </w:r>
      <w:r w:rsidR="005045B5">
        <w:rPr>
          <w:sz w:val="24"/>
          <w:lang w:val="en-GB"/>
        </w:rPr>
        <w:t xml:space="preserve">the </w:t>
      </w:r>
      <w:r>
        <w:rPr>
          <w:sz w:val="24"/>
          <w:lang w:val="en-GB"/>
        </w:rPr>
        <w:t>Remedies Directives</w:t>
      </w:r>
      <w:r w:rsidRPr="007C4D77">
        <w:rPr>
          <w:sz w:val="24"/>
          <w:lang w:val="en-GB"/>
        </w:rPr>
        <w:t xml:space="preserve">. </w:t>
      </w:r>
      <w:r>
        <w:rPr>
          <w:sz w:val="24"/>
          <w:lang w:val="en-GB"/>
        </w:rPr>
        <w:t>However, t</w:t>
      </w:r>
      <w:r w:rsidRPr="007C4D77">
        <w:rPr>
          <w:sz w:val="24"/>
          <w:lang w:val="en-GB"/>
        </w:rPr>
        <w:t xml:space="preserve">he </w:t>
      </w:r>
      <w:r w:rsidR="007C68FB">
        <w:rPr>
          <w:sz w:val="24"/>
          <w:lang w:val="en-GB"/>
        </w:rPr>
        <w:t xml:space="preserve">Defence </w:t>
      </w:r>
      <w:r w:rsidRPr="007C4D77">
        <w:rPr>
          <w:sz w:val="24"/>
          <w:lang w:val="en-GB"/>
        </w:rPr>
        <w:t xml:space="preserve">Directive foresees some adaptations to the general review system to take the special characteristics of defence into </w:t>
      </w:r>
      <w:r w:rsidRPr="000A664F">
        <w:rPr>
          <w:sz w:val="24"/>
          <w:lang w:val="en-GB"/>
        </w:rPr>
        <w:t>account. For example, Article 56 (10)</w:t>
      </w:r>
      <w:r w:rsidR="000A664F" w:rsidRPr="000A664F">
        <w:rPr>
          <w:sz w:val="24"/>
          <w:lang w:val="en-GB"/>
        </w:rPr>
        <w:t xml:space="preserve"> and Article 60 (3).</w:t>
      </w:r>
    </w:p>
    <w:p w:rsidR="007C4D77" w:rsidRDefault="00347246"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All this leads to conclusion that specific rules applicable for </w:t>
      </w:r>
      <w:r>
        <w:rPr>
          <w:rFonts w:ascii="Calibri" w:eastAsia="Calibri" w:hAnsi="Calibri" w:cs="Calibri"/>
          <w:sz w:val="24"/>
          <w:szCs w:val="20"/>
          <w:lang w:val="en-GB"/>
        </w:rPr>
        <w:t>defence and security procurement</w:t>
      </w:r>
      <w:r w:rsidRPr="00CD60B5">
        <w:rPr>
          <w:rFonts w:ascii="Calibri" w:eastAsia="Calibri" w:hAnsi="Calibri" w:cs="Calibri"/>
          <w:sz w:val="24"/>
          <w:szCs w:val="20"/>
          <w:lang w:val="en-GB"/>
        </w:rPr>
        <w:t xml:space="preserve"> is required in national legal order. In other words, the </w:t>
      </w:r>
      <w:r>
        <w:rPr>
          <w:rFonts w:ascii="Calibri" w:eastAsia="Calibri" w:hAnsi="Calibri" w:cs="Calibri"/>
          <w:sz w:val="24"/>
          <w:szCs w:val="20"/>
          <w:lang w:val="en-GB"/>
        </w:rPr>
        <w:t>Defence</w:t>
      </w:r>
      <w:r w:rsidRPr="00CD60B5">
        <w:rPr>
          <w:rFonts w:ascii="Calibri" w:eastAsia="Calibri" w:hAnsi="Calibri" w:cs="Calibri"/>
          <w:sz w:val="24"/>
          <w:szCs w:val="20"/>
          <w:lang w:val="en-GB"/>
        </w:rPr>
        <w:t xml:space="preserve"> Directive needs to be transposed since the rules of </w:t>
      </w:r>
      <w:r>
        <w:rPr>
          <w:rFonts w:ascii="Calibri" w:eastAsia="Calibri" w:hAnsi="Calibri" w:cs="Calibri"/>
          <w:sz w:val="24"/>
          <w:szCs w:val="20"/>
          <w:lang w:val="en-GB"/>
        </w:rPr>
        <w:t xml:space="preserve">either </w:t>
      </w:r>
      <w:r w:rsidRPr="00CD60B5">
        <w:rPr>
          <w:rFonts w:ascii="Calibri" w:eastAsia="Calibri" w:hAnsi="Calibri" w:cs="Calibri"/>
          <w:sz w:val="24"/>
          <w:szCs w:val="20"/>
          <w:lang w:val="en-GB"/>
        </w:rPr>
        <w:t>the Public Sector Directive</w:t>
      </w:r>
      <w:r>
        <w:rPr>
          <w:rFonts w:ascii="Calibri" w:eastAsia="Calibri" w:hAnsi="Calibri" w:cs="Calibri"/>
          <w:sz w:val="24"/>
          <w:szCs w:val="20"/>
          <w:lang w:val="en-GB"/>
        </w:rPr>
        <w:t xml:space="preserve"> or </w:t>
      </w:r>
      <w:r w:rsidR="005045B5">
        <w:rPr>
          <w:rFonts w:ascii="Calibri" w:eastAsia="Calibri" w:hAnsi="Calibri" w:cs="Calibri"/>
          <w:sz w:val="24"/>
          <w:szCs w:val="20"/>
          <w:lang w:val="en-GB"/>
        </w:rPr>
        <w:t xml:space="preserve">the </w:t>
      </w:r>
      <w:r>
        <w:rPr>
          <w:rFonts w:ascii="Calibri" w:eastAsia="Calibri" w:hAnsi="Calibri" w:cs="Calibri"/>
          <w:sz w:val="24"/>
          <w:szCs w:val="20"/>
          <w:lang w:val="en-GB"/>
        </w:rPr>
        <w:t>Utilities Directive</w:t>
      </w:r>
      <w:r w:rsidRPr="00CD60B5">
        <w:rPr>
          <w:rFonts w:ascii="Calibri" w:eastAsia="Calibri" w:hAnsi="Calibri" w:cs="Calibri"/>
          <w:sz w:val="24"/>
          <w:szCs w:val="20"/>
          <w:lang w:val="en-GB"/>
        </w:rPr>
        <w:t xml:space="preserve"> cannot replace the rules specifically designed for </w:t>
      </w:r>
      <w:r>
        <w:rPr>
          <w:rFonts w:ascii="Calibri" w:eastAsia="Calibri" w:hAnsi="Calibri" w:cs="Calibri"/>
          <w:sz w:val="24"/>
          <w:szCs w:val="20"/>
          <w:lang w:val="en-GB"/>
        </w:rPr>
        <w:t xml:space="preserve">defence </w:t>
      </w:r>
      <w:r w:rsidR="007C4D77">
        <w:rPr>
          <w:rFonts w:ascii="Calibri" w:eastAsia="Calibri" w:hAnsi="Calibri" w:cs="Calibri"/>
          <w:sz w:val="24"/>
          <w:szCs w:val="20"/>
          <w:lang w:val="en-GB"/>
        </w:rPr>
        <w:t xml:space="preserve">and security </w:t>
      </w:r>
      <w:r>
        <w:rPr>
          <w:rFonts w:ascii="Calibri" w:eastAsia="Calibri" w:hAnsi="Calibri" w:cs="Calibri"/>
          <w:sz w:val="24"/>
          <w:szCs w:val="20"/>
          <w:lang w:val="en-GB"/>
        </w:rPr>
        <w:t>procurement</w:t>
      </w:r>
      <w:r w:rsidRPr="00CD60B5">
        <w:rPr>
          <w:rFonts w:ascii="Calibri" w:eastAsia="Calibri" w:hAnsi="Calibri" w:cs="Calibri"/>
          <w:sz w:val="24"/>
          <w:szCs w:val="20"/>
          <w:lang w:val="en-GB"/>
        </w:rPr>
        <w:t>.</w:t>
      </w:r>
    </w:p>
    <w:p w:rsidR="007C4D77" w:rsidRDefault="00673CB0" w:rsidP="00DB318D">
      <w:pPr>
        <w:keepNext w:val="0"/>
        <w:keepLines w:val="0"/>
        <w:spacing w:after="120" w:line="240" w:lineRule="auto"/>
        <w:jc w:val="both"/>
        <w:rPr>
          <w:rFonts w:ascii="Calibri" w:eastAsia="Calibri" w:hAnsi="Calibri" w:cs="Calibri"/>
          <w:sz w:val="24"/>
          <w:szCs w:val="20"/>
          <w:lang w:val="en-GB"/>
        </w:rPr>
      </w:pPr>
      <w:r w:rsidRPr="00673CB0">
        <w:rPr>
          <w:rFonts w:ascii="Calibri" w:eastAsia="Calibri" w:hAnsi="Calibri" w:cs="Calibri"/>
          <w:sz w:val="24"/>
          <w:szCs w:val="20"/>
          <w:lang w:val="en-GB"/>
        </w:rPr>
        <w:t>Taking into account all mentioned above, i</w:t>
      </w:r>
      <w:r w:rsidR="004B0A0E" w:rsidRPr="00673CB0">
        <w:rPr>
          <w:rFonts w:ascii="Calibri" w:eastAsia="Calibri" w:hAnsi="Calibri" w:cs="Calibri"/>
          <w:sz w:val="24"/>
          <w:szCs w:val="20"/>
          <w:lang w:val="en-GB"/>
        </w:rPr>
        <w:t>t is</w:t>
      </w:r>
      <w:r w:rsidRPr="00673CB0">
        <w:rPr>
          <w:rFonts w:ascii="Calibri" w:eastAsia="Calibri" w:hAnsi="Calibri" w:cs="Calibri"/>
          <w:sz w:val="24"/>
          <w:szCs w:val="20"/>
          <w:lang w:val="en-GB"/>
        </w:rPr>
        <w:t xml:space="preserve"> </w:t>
      </w:r>
      <w:r w:rsidR="004B0A0E" w:rsidRPr="00673CB0">
        <w:rPr>
          <w:rFonts w:ascii="Calibri" w:eastAsia="Calibri" w:hAnsi="Calibri" w:cs="Calibri"/>
          <w:sz w:val="24"/>
          <w:szCs w:val="20"/>
          <w:lang w:val="en-GB"/>
        </w:rPr>
        <w:t xml:space="preserve">suggested that the way forward for </w:t>
      </w:r>
      <w:r w:rsidRPr="00673CB0">
        <w:rPr>
          <w:rFonts w:ascii="Calibri" w:eastAsia="Calibri" w:hAnsi="Calibri" w:cs="Calibri"/>
          <w:sz w:val="24"/>
          <w:szCs w:val="20"/>
          <w:lang w:val="en-GB"/>
        </w:rPr>
        <w:t>the transposition of the Defence Directive into national legal order</w:t>
      </w:r>
      <w:r w:rsidR="004B0A0E" w:rsidRPr="00673CB0">
        <w:rPr>
          <w:rFonts w:ascii="Calibri" w:eastAsia="Calibri" w:hAnsi="Calibri" w:cs="Calibri"/>
          <w:sz w:val="24"/>
          <w:szCs w:val="20"/>
          <w:lang w:val="en-GB"/>
        </w:rPr>
        <w:t xml:space="preserve"> is to apply a </w:t>
      </w:r>
      <w:r w:rsidRPr="00673CB0">
        <w:rPr>
          <w:rFonts w:ascii="Calibri" w:eastAsia="Calibri" w:hAnsi="Calibri" w:cs="Calibri"/>
          <w:sz w:val="24"/>
          <w:szCs w:val="20"/>
          <w:lang w:val="en-GB"/>
        </w:rPr>
        <w:t>special</w:t>
      </w:r>
      <w:r w:rsidR="004B0A0E" w:rsidRPr="00673CB0">
        <w:rPr>
          <w:rFonts w:ascii="Calibri" w:eastAsia="Calibri" w:hAnsi="Calibri" w:cs="Calibri"/>
          <w:sz w:val="24"/>
          <w:szCs w:val="20"/>
          <w:lang w:val="en-GB"/>
        </w:rPr>
        <w:t xml:space="preserve"> set of rules </w:t>
      </w:r>
      <w:r w:rsidRPr="00673CB0">
        <w:rPr>
          <w:rFonts w:ascii="Calibri" w:eastAsia="Calibri" w:hAnsi="Calibri" w:cs="Calibri"/>
          <w:sz w:val="24"/>
          <w:szCs w:val="20"/>
          <w:lang w:val="en-GB"/>
        </w:rPr>
        <w:t>for</w:t>
      </w:r>
      <w:r w:rsidR="004B0A0E" w:rsidRPr="00673CB0">
        <w:rPr>
          <w:rFonts w:ascii="Calibri" w:eastAsia="Calibri" w:hAnsi="Calibri" w:cs="Calibri"/>
          <w:sz w:val="24"/>
          <w:szCs w:val="20"/>
          <w:lang w:val="en-GB"/>
        </w:rPr>
        <w:t xml:space="preserve"> the </w:t>
      </w:r>
      <w:r w:rsidRPr="00673CB0">
        <w:rPr>
          <w:rFonts w:ascii="Calibri" w:eastAsia="Calibri" w:hAnsi="Calibri" w:cs="Calibri"/>
          <w:sz w:val="24"/>
          <w:szCs w:val="20"/>
          <w:lang w:val="en-GB"/>
        </w:rPr>
        <w:t xml:space="preserve">defence </w:t>
      </w:r>
      <w:r w:rsidR="004B0A0E" w:rsidRPr="00673CB0">
        <w:rPr>
          <w:rFonts w:ascii="Calibri" w:eastAsia="Calibri" w:hAnsi="Calibri" w:cs="Calibri"/>
          <w:sz w:val="24"/>
          <w:szCs w:val="20"/>
          <w:lang w:val="en-GB"/>
        </w:rPr>
        <w:t>procurement based</w:t>
      </w:r>
      <w:r w:rsidR="007C4D77">
        <w:rPr>
          <w:rFonts w:ascii="Calibri" w:eastAsia="Calibri" w:hAnsi="Calibri" w:cs="Calibri"/>
          <w:sz w:val="24"/>
          <w:szCs w:val="20"/>
          <w:lang w:val="en-GB"/>
        </w:rPr>
        <w:t>,</w:t>
      </w:r>
      <w:r w:rsidR="004B0A0E" w:rsidRPr="00673CB0">
        <w:rPr>
          <w:rFonts w:ascii="Calibri" w:eastAsia="Calibri" w:hAnsi="Calibri" w:cs="Calibri"/>
          <w:sz w:val="24"/>
          <w:szCs w:val="20"/>
          <w:lang w:val="en-GB"/>
        </w:rPr>
        <w:t xml:space="preserve"> in principle</w:t>
      </w:r>
      <w:r w:rsidR="007C4D77">
        <w:rPr>
          <w:rFonts w:ascii="Calibri" w:eastAsia="Calibri" w:hAnsi="Calibri" w:cs="Calibri"/>
          <w:sz w:val="24"/>
          <w:szCs w:val="20"/>
          <w:lang w:val="en-GB"/>
        </w:rPr>
        <w:t>,</w:t>
      </w:r>
      <w:r w:rsidR="004B0A0E" w:rsidRPr="00673CB0">
        <w:rPr>
          <w:rFonts w:ascii="Calibri" w:eastAsia="Calibri" w:hAnsi="Calibri" w:cs="Calibri"/>
          <w:sz w:val="24"/>
          <w:szCs w:val="20"/>
          <w:lang w:val="en-GB"/>
        </w:rPr>
        <w:t xml:space="preserve"> on </w:t>
      </w:r>
      <w:r w:rsidR="007C4D77">
        <w:rPr>
          <w:rFonts w:ascii="Calibri" w:eastAsia="Calibri" w:hAnsi="Calibri" w:cs="Calibri"/>
          <w:sz w:val="24"/>
          <w:szCs w:val="20"/>
          <w:lang w:val="en-GB"/>
        </w:rPr>
        <w:t xml:space="preserve">one of </w:t>
      </w:r>
      <w:r w:rsidR="004B0A0E" w:rsidRPr="00673CB0">
        <w:rPr>
          <w:rFonts w:ascii="Calibri" w:eastAsia="Calibri" w:hAnsi="Calibri" w:cs="Calibri"/>
          <w:sz w:val="24"/>
          <w:szCs w:val="20"/>
          <w:lang w:val="en-GB"/>
        </w:rPr>
        <w:t xml:space="preserve">the </w:t>
      </w:r>
      <w:r w:rsidRPr="000A664F">
        <w:rPr>
          <w:rFonts w:ascii="Calibri" w:eastAsia="Calibri" w:hAnsi="Calibri" w:cs="Calibri"/>
          <w:sz w:val="24"/>
          <w:szCs w:val="20"/>
          <w:lang w:val="en-GB"/>
        </w:rPr>
        <w:t>options (I-I</w:t>
      </w:r>
      <w:r w:rsidR="000A664F" w:rsidRPr="000A664F">
        <w:rPr>
          <w:rFonts w:ascii="Calibri" w:eastAsia="Calibri" w:hAnsi="Calibri" w:cs="Calibri"/>
          <w:sz w:val="24"/>
          <w:szCs w:val="20"/>
          <w:lang w:val="en-GB"/>
        </w:rPr>
        <w:t>V</w:t>
      </w:r>
      <w:r w:rsidRPr="000A664F">
        <w:rPr>
          <w:rFonts w:ascii="Calibri" w:eastAsia="Calibri" w:hAnsi="Calibri" w:cs="Calibri"/>
          <w:sz w:val="24"/>
          <w:szCs w:val="20"/>
          <w:lang w:val="en-GB"/>
        </w:rPr>
        <w:t>) described</w:t>
      </w:r>
      <w:r w:rsidRPr="00673CB0">
        <w:rPr>
          <w:rFonts w:ascii="Calibri" w:eastAsia="Calibri" w:hAnsi="Calibri" w:cs="Calibri"/>
          <w:sz w:val="24"/>
          <w:szCs w:val="20"/>
          <w:lang w:val="en-GB"/>
        </w:rPr>
        <w:t xml:space="preserve"> </w:t>
      </w:r>
      <w:r w:rsidR="00347246">
        <w:rPr>
          <w:rFonts w:ascii="Calibri" w:eastAsia="Calibri" w:hAnsi="Calibri" w:cs="Calibri"/>
          <w:sz w:val="24"/>
          <w:szCs w:val="20"/>
          <w:lang w:val="en-GB"/>
        </w:rPr>
        <w:t xml:space="preserve">above </w:t>
      </w:r>
      <w:r w:rsidRPr="00673CB0">
        <w:rPr>
          <w:rFonts w:ascii="Calibri" w:eastAsia="Calibri" w:hAnsi="Calibri" w:cs="Calibri"/>
          <w:sz w:val="24"/>
          <w:szCs w:val="20"/>
          <w:lang w:val="en-GB"/>
        </w:rPr>
        <w:t xml:space="preserve">for the Utilities Directive. </w:t>
      </w:r>
    </w:p>
    <w:p w:rsidR="00220313" w:rsidRPr="00220313" w:rsidRDefault="00557974"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lastRenderedPageBreak/>
        <w:t>T</w:t>
      </w:r>
      <w:r w:rsidR="00220313">
        <w:rPr>
          <w:rFonts w:ascii="Calibri" w:eastAsia="Calibri" w:hAnsi="Calibri" w:cs="Calibri"/>
          <w:sz w:val="24"/>
          <w:szCs w:val="20"/>
          <w:lang w:val="en-GB"/>
        </w:rPr>
        <w:t xml:space="preserve">here is also </w:t>
      </w:r>
      <w:r w:rsidR="00220313" w:rsidRPr="000A664F">
        <w:rPr>
          <w:rFonts w:ascii="Calibri" w:eastAsia="Calibri" w:hAnsi="Calibri" w:cs="Calibri"/>
          <w:sz w:val="24"/>
          <w:szCs w:val="20"/>
          <w:lang w:val="en-GB"/>
        </w:rPr>
        <w:t>option V for transposition</w:t>
      </w:r>
      <w:r w:rsidR="00220313">
        <w:rPr>
          <w:rFonts w:ascii="Calibri" w:eastAsia="Calibri" w:hAnsi="Calibri" w:cs="Calibri"/>
          <w:sz w:val="24"/>
          <w:szCs w:val="20"/>
          <w:lang w:val="en-GB"/>
        </w:rPr>
        <w:t xml:space="preserve"> of the Defence Directive </w:t>
      </w:r>
      <w:r>
        <w:rPr>
          <w:rFonts w:ascii="Calibri" w:eastAsia="Calibri" w:hAnsi="Calibri" w:cs="Calibri"/>
          <w:sz w:val="24"/>
          <w:szCs w:val="20"/>
          <w:lang w:val="en-GB"/>
        </w:rPr>
        <w:t>which could be considered. This option</w:t>
      </w:r>
      <w:r w:rsidR="00220313">
        <w:rPr>
          <w:rFonts w:ascii="Calibri" w:eastAsia="Calibri" w:hAnsi="Calibri" w:cs="Calibri"/>
          <w:sz w:val="24"/>
          <w:szCs w:val="20"/>
          <w:lang w:val="en-GB"/>
        </w:rPr>
        <w:t xml:space="preserve"> is currently used in Serbia.</w:t>
      </w:r>
    </w:p>
    <w:p w:rsidR="000510F3" w:rsidRDefault="00220313" w:rsidP="00DB318D">
      <w:pPr>
        <w:keepNext w:val="0"/>
        <w:keepLines w:val="0"/>
        <w:spacing w:after="120" w:line="240" w:lineRule="auto"/>
        <w:jc w:val="both"/>
        <w:rPr>
          <w:rFonts w:ascii="Calibri" w:eastAsia="Calibri" w:hAnsi="Calibri" w:cs="Calibri"/>
          <w:sz w:val="24"/>
          <w:szCs w:val="20"/>
          <w:lang w:val="en-GB"/>
        </w:rPr>
      </w:pPr>
      <w:r w:rsidRPr="00220313">
        <w:rPr>
          <w:rFonts w:ascii="Calibri" w:eastAsia="Calibri" w:hAnsi="Calibri" w:cs="Calibri"/>
          <w:sz w:val="24"/>
          <w:szCs w:val="20"/>
          <w:lang w:val="en-GB"/>
        </w:rPr>
        <w:t xml:space="preserve">Only </w:t>
      </w:r>
      <w:r w:rsidR="00557974">
        <w:rPr>
          <w:rFonts w:ascii="Calibri" w:eastAsia="Calibri" w:hAnsi="Calibri" w:cs="Calibri"/>
          <w:sz w:val="24"/>
          <w:szCs w:val="20"/>
          <w:lang w:val="en-GB"/>
        </w:rPr>
        <w:t>some</w:t>
      </w:r>
      <w:r w:rsidR="005045B5" w:rsidRPr="005045B5">
        <w:rPr>
          <w:rFonts w:ascii="Calibri" w:eastAsia="Calibri" w:hAnsi="Calibri" w:cs="Calibri"/>
          <w:sz w:val="24"/>
          <w:szCs w:val="20"/>
          <w:lang w:val="en-GB"/>
        </w:rPr>
        <w:t xml:space="preserve"> </w:t>
      </w:r>
      <w:r w:rsidR="00C81251">
        <w:rPr>
          <w:rFonts w:ascii="Calibri" w:eastAsia="Calibri" w:hAnsi="Calibri" w:cs="Calibri"/>
          <w:sz w:val="24"/>
          <w:szCs w:val="20"/>
          <w:lang w:val="en-GB"/>
        </w:rPr>
        <w:t xml:space="preserve">defence and security </w:t>
      </w:r>
      <w:r w:rsidR="005045B5" w:rsidRPr="00220313">
        <w:rPr>
          <w:rFonts w:ascii="Calibri" w:eastAsia="Calibri" w:hAnsi="Calibri" w:cs="Calibri"/>
          <w:sz w:val="24"/>
          <w:szCs w:val="20"/>
          <w:lang w:val="en-GB"/>
        </w:rPr>
        <w:t>provisions</w:t>
      </w:r>
      <w:r w:rsidR="00557974">
        <w:rPr>
          <w:rFonts w:ascii="Calibri" w:eastAsia="Calibri" w:hAnsi="Calibri" w:cs="Calibri"/>
          <w:sz w:val="24"/>
          <w:szCs w:val="20"/>
          <w:lang w:val="en-GB"/>
        </w:rPr>
        <w:t xml:space="preserve">, usually </w:t>
      </w:r>
      <w:r w:rsidR="00621B7F">
        <w:rPr>
          <w:rFonts w:ascii="Calibri" w:eastAsia="Calibri" w:hAnsi="Calibri" w:cs="Calibri"/>
          <w:sz w:val="24"/>
          <w:szCs w:val="20"/>
          <w:lang w:val="en-GB"/>
        </w:rPr>
        <w:t xml:space="preserve">the </w:t>
      </w:r>
      <w:r w:rsidR="00557974">
        <w:rPr>
          <w:rFonts w:ascii="Calibri" w:eastAsia="Calibri" w:hAnsi="Calibri" w:cs="Calibri"/>
          <w:sz w:val="24"/>
          <w:szCs w:val="20"/>
          <w:lang w:val="en-GB"/>
        </w:rPr>
        <w:t xml:space="preserve">basic </w:t>
      </w:r>
      <w:r w:rsidR="005045B5">
        <w:rPr>
          <w:rFonts w:ascii="Calibri" w:eastAsia="Calibri" w:hAnsi="Calibri" w:cs="Calibri"/>
          <w:sz w:val="24"/>
          <w:szCs w:val="20"/>
          <w:lang w:val="en-GB"/>
        </w:rPr>
        <w:t xml:space="preserve">ones, </w:t>
      </w:r>
      <w:r w:rsidR="00621B7F">
        <w:rPr>
          <w:rFonts w:ascii="Calibri" w:eastAsia="Calibri" w:hAnsi="Calibri" w:cs="Calibri"/>
          <w:sz w:val="24"/>
          <w:szCs w:val="20"/>
          <w:lang w:val="en-GB"/>
        </w:rPr>
        <w:t xml:space="preserve">are provided in </w:t>
      </w:r>
      <w:r w:rsidRPr="00220313">
        <w:rPr>
          <w:rFonts w:ascii="Calibri" w:eastAsia="Calibri" w:hAnsi="Calibri" w:cs="Calibri"/>
          <w:sz w:val="24"/>
          <w:szCs w:val="20"/>
          <w:lang w:val="en-GB"/>
        </w:rPr>
        <w:t>the law</w:t>
      </w:r>
      <w:r w:rsidR="00621B7F">
        <w:rPr>
          <w:rFonts w:ascii="Calibri" w:eastAsia="Calibri" w:hAnsi="Calibri" w:cs="Calibri"/>
          <w:sz w:val="24"/>
          <w:szCs w:val="20"/>
          <w:lang w:val="en-GB"/>
        </w:rPr>
        <w:t xml:space="preserve"> and the rest is </w:t>
      </w:r>
      <w:r w:rsidR="00557974">
        <w:rPr>
          <w:rFonts w:ascii="Calibri" w:eastAsia="Calibri" w:hAnsi="Calibri" w:cs="Calibri"/>
          <w:sz w:val="24"/>
          <w:szCs w:val="20"/>
          <w:lang w:val="en-GB"/>
        </w:rPr>
        <w:t>regulated through the</w:t>
      </w:r>
      <w:r w:rsidR="00621B7F">
        <w:rPr>
          <w:rFonts w:ascii="Calibri" w:eastAsia="Calibri" w:hAnsi="Calibri" w:cs="Calibri"/>
          <w:sz w:val="24"/>
          <w:szCs w:val="20"/>
          <w:lang w:val="en-GB"/>
        </w:rPr>
        <w:t xml:space="preserve"> secondary legislatio</w:t>
      </w:r>
      <w:r w:rsidR="000510F3">
        <w:rPr>
          <w:rFonts w:ascii="Calibri" w:eastAsia="Calibri" w:hAnsi="Calibri" w:cs="Calibri"/>
          <w:sz w:val="24"/>
          <w:szCs w:val="20"/>
          <w:lang w:val="en-GB"/>
        </w:rPr>
        <w:t>n</w:t>
      </w:r>
      <w:r w:rsidRPr="00220313">
        <w:rPr>
          <w:rFonts w:ascii="Calibri" w:eastAsia="Calibri" w:hAnsi="Calibri" w:cs="Calibri"/>
          <w:sz w:val="24"/>
          <w:szCs w:val="20"/>
          <w:lang w:val="en-GB"/>
        </w:rPr>
        <w:t xml:space="preserve">. This means that the </w:t>
      </w:r>
      <w:r w:rsidR="000510F3">
        <w:rPr>
          <w:rFonts w:ascii="Calibri" w:eastAsia="Calibri" w:hAnsi="Calibri" w:cs="Calibri"/>
          <w:sz w:val="24"/>
          <w:szCs w:val="20"/>
          <w:lang w:val="en-GB"/>
        </w:rPr>
        <w:t>law</w:t>
      </w:r>
      <w:r w:rsidR="00B16A34">
        <w:rPr>
          <w:rFonts w:ascii="Calibri" w:eastAsia="Calibri" w:hAnsi="Calibri" w:cs="Calibri"/>
          <w:sz w:val="24"/>
          <w:szCs w:val="20"/>
          <w:lang w:val="en-GB"/>
        </w:rPr>
        <w:t xml:space="preserve"> which </w:t>
      </w:r>
      <w:r w:rsidR="00557974">
        <w:rPr>
          <w:rFonts w:ascii="Calibri" w:eastAsia="Calibri" w:hAnsi="Calibri" w:cs="Calibri"/>
          <w:sz w:val="24"/>
          <w:szCs w:val="20"/>
          <w:lang w:val="en-GB"/>
        </w:rPr>
        <w:t>covers</w:t>
      </w:r>
      <w:r w:rsidR="00B16A34">
        <w:rPr>
          <w:rFonts w:ascii="Calibri" w:eastAsia="Calibri" w:hAnsi="Calibri" w:cs="Calibri"/>
          <w:sz w:val="24"/>
          <w:szCs w:val="20"/>
          <w:lang w:val="en-GB"/>
        </w:rPr>
        <w:t xml:space="preserve"> </w:t>
      </w:r>
      <w:r w:rsidR="00F24666">
        <w:rPr>
          <w:rFonts w:ascii="Calibri" w:eastAsia="Calibri" w:hAnsi="Calibri" w:cs="Calibri"/>
          <w:sz w:val="24"/>
          <w:szCs w:val="20"/>
          <w:lang w:val="en-GB"/>
        </w:rPr>
        <w:t xml:space="preserve">either </w:t>
      </w:r>
      <w:r w:rsidR="00B16A34">
        <w:rPr>
          <w:rFonts w:ascii="Calibri" w:eastAsia="Calibri" w:hAnsi="Calibri" w:cs="Calibri"/>
          <w:sz w:val="24"/>
          <w:szCs w:val="20"/>
          <w:lang w:val="en-GB"/>
        </w:rPr>
        <w:t xml:space="preserve">the public sector </w:t>
      </w:r>
      <w:r w:rsidR="00F24666">
        <w:rPr>
          <w:rFonts w:ascii="Calibri" w:eastAsia="Calibri" w:hAnsi="Calibri" w:cs="Calibri"/>
          <w:sz w:val="24"/>
          <w:szCs w:val="20"/>
          <w:lang w:val="en-GB"/>
        </w:rPr>
        <w:t>or the</w:t>
      </w:r>
      <w:r w:rsidR="00B16A34">
        <w:rPr>
          <w:rFonts w:ascii="Calibri" w:eastAsia="Calibri" w:hAnsi="Calibri" w:cs="Calibri"/>
          <w:sz w:val="24"/>
          <w:szCs w:val="20"/>
          <w:lang w:val="en-GB"/>
        </w:rPr>
        <w:t xml:space="preserve"> utilities contracts</w:t>
      </w:r>
      <w:r w:rsidR="00F24666">
        <w:rPr>
          <w:rFonts w:ascii="Calibri" w:eastAsia="Calibri" w:hAnsi="Calibri" w:cs="Calibri"/>
          <w:sz w:val="24"/>
          <w:szCs w:val="20"/>
          <w:lang w:val="en-GB"/>
        </w:rPr>
        <w:t>, or both</w:t>
      </w:r>
      <w:r w:rsidR="000510F3">
        <w:rPr>
          <w:rFonts w:ascii="Calibri" w:eastAsia="Calibri" w:hAnsi="Calibri" w:cs="Calibri"/>
          <w:sz w:val="24"/>
          <w:szCs w:val="20"/>
          <w:lang w:val="en-GB"/>
        </w:rPr>
        <w:t xml:space="preserve"> would</w:t>
      </w:r>
      <w:r w:rsidR="00B16A34">
        <w:rPr>
          <w:rFonts w:ascii="Calibri" w:eastAsia="Calibri" w:hAnsi="Calibri" w:cs="Calibri"/>
          <w:sz w:val="24"/>
          <w:szCs w:val="20"/>
          <w:lang w:val="en-GB"/>
        </w:rPr>
        <w:t xml:space="preserve">, in addition, </w:t>
      </w:r>
      <w:r w:rsidR="00557974">
        <w:rPr>
          <w:rFonts w:ascii="Calibri" w:eastAsia="Calibri" w:hAnsi="Calibri" w:cs="Calibri"/>
          <w:sz w:val="24"/>
          <w:szCs w:val="20"/>
          <w:lang w:val="en-GB"/>
        </w:rPr>
        <w:t>contain</w:t>
      </w:r>
      <w:r w:rsidR="000A664F">
        <w:rPr>
          <w:rFonts w:ascii="Calibri" w:eastAsia="Calibri" w:hAnsi="Calibri" w:cs="Calibri"/>
          <w:sz w:val="24"/>
          <w:szCs w:val="20"/>
          <w:lang w:val="en-GB"/>
        </w:rPr>
        <w:t xml:space="preserve"> a specific</w:t>
      </w:r>
      <w:r w:rsidR="00B16A34">
        <w:rPr>
          <w:rFonts w:ascii="Calibri" w:eastAsia="Calibri" w:hAnsi="Calibri" w:cs="Calibri"/>
          <w:sz w:val="24"/>
          <w:szCs w:val="20"/>
          <w:lang w:val="en-GB"/>
        </w:rPr>
        <w:t xml:space="preserve"> chapter</w:t>
      </w:r>
      <w:r w:rsidR="000A664F">
        <w:rPr>
          <w:rFonts w:ascii="Calibri" w:eastAsia="Calibri" w:hAnsi="Calibri" w:cs="Calibri"/>
          <w:sz w:val="24"/>
          <w:szCs w:val="20"/>
          <w:lang w:val="en-GB"/>
        </w:rPr>
        <w:t xml:space="preserve"> or part</w:t>
      </w:r>
      <w:r w:rsidR="00B16A34">
        <w:rPr>
          <w:rFonts w:ascii="Calibri" w:eastAsia="Calibri" w:hAnsi="Calibri" w:cs="Calibri"/>
          <w:sz w:val="24"/>
          <w:szCs w:val="20"/>
          <w:lang w:val="en-GB"/>
        </w:rPr>
        <w:t xml:space="preserve"> with</w:t>
      </w:r>
      <w:r w:rsidR="000510F3">
        <w:rPr>
          <w:rFonts w:ascii="Calibri" w:eastAsia="Calibri" w:hAnsi="Calibri" w:cs="Calibri"/>
          <w:sz w:val="24"/>
          <w:szCs w:val="20"/>
          <w:lang w:val="en-GB"/>
        </w:rPr>
        <w:t xml:space="preserve"> </w:t>
      </w:r>
      <w:r w:rsidR="00FE6D2E">
        <w:rPr>
          <w:rFonts w:ascii="Calibri" w:eastAsia="Calibri" w:hAnsi="Calibri" w:cs="Calibri"/>
          <w:sz w:val="24"/>
          <w:szCs w:val="20"/>
          <w:lang w:val="en-GB"/>
        </w:rPr>
        <w:t xml:space="preserve">the basic </w:t>
      </w:r>
      <w:r w:rsidR="00557974">
        <w:rPr>
          <w:rFonts w:ascii="Calibri" w:eastAsia="Calibri" w:hAnsi="Calibri" w:cs="Calibri"/>
          <w:sz w:val="24"/>
          <w:szCs w:val="20"/>
          <w:lang w:val="en-GB"/>
        </w:rPr>
        <w:t xml:space="preserve">defence </w:t>
      </w:r>
      <w:r w:rsidR="000510F3">
        <w:rPr>
          <w:rFonts w:ascii="Calibri" w:eastAsia="Calibri" w:hAnsi="Calibri" w:cs="Calibri"/>
          <w:sz w:val="24"/>
          <w:szCs w:val="20"/>
          <w:lang w:val="en-GB"/>
        </w:rPr>
        <w:t>provision</w:t>
      </w:r>
      <w:r w:rsidR="00B16A34">
        <w:rPr>
          <w:rFonts w:ascii="Calibri" w:eastAsia="Calibri" w:hAnsi="Calibri" w:cs="Calibri"/>
          <w:sz w:val="24"/>
          <w:szCs w:val="20"/>
          <w:lang w:val="en-GB"/>
        </w:rPr>
        <w:t>s</w:t>
      </w:r>
      <w:r w:rsidR="00557974">
        <w:rPr>
          <w:rFonts w:ascii="Calibri" w:eastAsia="Calibri" w:hAnsi="Calibri" w:cs="Calibri"/>
          <w:sz w:val="24"/>
          <w:szCs w:val="20"/>
          <w:lang w:val="en-GB"/>
        </w:rPr>
        <w:t xml:space="preserve">. </w:t>
      </w:r>
      <w:r w:rsidR="00A25D7E">
        <w:rPr>
          <w:rFonts w:ascii="Calibri" w:eastAsia="Calibri" w:hAnsi="Calibri" w:cs="Calibri"/>
          <w:sz w:val="24"/>
          <w:szCs w:val="20"/>
          <w:lang w:val="en-GB"/>
        </w:rPr>
        <w:t xml:space="preserve">This </w:t>
      </w:r>
      <w:r w:rsidR="000A664F">
        <w:rPr>
          <w:rFonts w:ascii="Calibri" w:eastAsia="Calibri" w:hAnsi="Calibri" w:cs="Calibri"/>
          <w:sz w:val="24"/>
          <w:szCs w:val="20"/>
          <w:lang w:val="en-GB"/>
        </w:rPr>
        <w:t>part</w:t>
      </w:r>
      <w:r w:rsidR="00557974">
        <w:rPr>
          <w:rFonts w:ascii="Calibri" w:eastAsia="Calibri" w:hAnsi="Calibri" w:cs="Calibri"/>
          <w:sz w:val="24"/>
          <w:szCs w:val="20"/>
          <w:lang w:val="en-GB"/>
        </w:rPr>
        <w:t xml:space="preserve"> would normally include the</w:t>
      </w:r>
      <w:r w:rsidR="000510F3">
        <w:rPr>
          <w:rFonts w:ascii="Calibri" w:eastAsia="Calibri" w:hAnsi="Calibri" w:cs="Calibri"/>
          <w:sz w:val="24"/>
          <w:szCs w:val="20"/>
          <w:lang w:val="en-GB"/>
        </w:rPr>
        <w:t xml:space="preserve"> material and personal scope of the </w:t>
      </w:r>
      <w:r w:rsidR="00557974">
        <w:rPr>
          <w:rFonts w:ascii="Calibri" w:eastAsia="Calibri" w:hAnsi="Calibri" w:cs="Calibri"/>
          <w:sz w:val="24"/>
          <w:szCs w:val="20"/>
          <w:lang w:val="en-GB"/>
        </w:rPr>
        <w:t xml:space="preserve">Defence </w:t>
      </w:r>
      <w:r w:rsidR="000510F3">
        <w:rPr>
          <w:rFonts w:ascii="Calibri" w:eastAsia="Calibri" w:hAnsi="Calibri" w:cs="Calibri"/>
          <w:sz w:val="24"/>
          <w:szCs w:val="20"/>
          <w:lang w:val="en-GB"/>
        </w:rPr>
        <w:t>Directive, the main terms used, exclusions from the scope</w:t>
      </w:r>
      <w:r w:rsidR="00B16A34">
        <w:rPr>
          <w:rFonts w:ascii="Calibri" w:eastAsia="Calibri" w:hAnsi="Calibri" w:cs="Calibri"/>
          <w:sz w:val="24"/>
          <w:szCs w:val="20"/>
          <w:lang w:val="en-GB"/>
        </w:rPr>
        <w:t xml:space="preserve"> of the </w:t>
      </w:r>
      <w:r w:rsidR="00557974">
        <w:rPr>
          <w:rFonts w:ascii="Calibri" w:eastAsia="Calibri" w:hAnsi="Calibri" w:cs="Calibri"/>
          <w:sz w:val="24"/>
          <w:szCs w:val="20"/>
          <w:lang w:val="en-GB"/>
        </w:rPr>
        <w:t xml:space="preserve">Directive, </w:t>
      </w:r>
      <w:r w:rsidR="000510F3">
        <w:rPr>
          <w:rFonts w:ascii="Calibri" w:eastAsia="Calibri" w:hAnsi="Calibri" w:cs="Calibri"/>
          <w:sz w:val="24"/>
          <w:szCs w:val="20"/>
          <w:lang w:val="en-GB"/>
        </w:rPr>
        <w:t>the main procedural requirements</w:t>
      </w:r>
      <w:r w:rsidR="00B16A34">
        <w:rPr>
          <w:rFonts w:ascii="Calibri" w:eastAsia="Calibri" w:hAnsi="Calibri" w:cs="Calibri"/>
          <w:sz w:val="24"/>
          <w:szCs w:val="20"/>
          <w:lang w:val="en-GB"/>
        </w:rPr>
        <w:t>, etc</w:t>
      </w:r>
      <w:r w:rsidR="000510F3">
        <w:rPr>
          <w:rFonts w:ascii="Calibri" w:eastAsia="Calibri" w:hAnsi="Calibri" w:cs="Calibri"/>
          <w:sz w:val="24"/>
          <w:szCs w:val="20"/>
          <w:lang w:val="en-GB"/>
        </w:rPr>
        <w:t xml:space="preserve">. Most importantly, the law needs to provide clear legal basis </w:t>
      </w:r>
      <w:r w:rsidR="00557974">
        <w:rPr>
          <w:rFonts w:ascii="Calibri" w:eastAsia="Calibri" w:hAnsi="Calibri" w:cs="Calibri"/>
          <w:sz w:val="24"/>
          <w:szCs w:val="20"/>
          <w:lang w:val="en-GB"/>
        </w:rPr>
        <w:t xml:space="preserve">for </w:t>
      </w:r>
      <w:r w:rsidR="000510F3">
        <w:rPr>
          <w:rFonts w:ascii="Calibri" w:eastAsia="Calibri" w:hAnsi="Calibri" w:cs="Calibri"/>
          <w:sz w:val="24"/>
          <w:szCs w:val="20"/>
          <w:lang w:val="en-GB"/>
        </w:rPr>
        <w:t>further regulat</w:t>
      </w:r>
      <w:r w:rsidR="00557974">
        <w:rPr>
          <w:rFonts w:ascii="Calibri" w:eastAsia="Calibri" w:hAnsi="Calibri" w:cs="Calibri"/>
          <w:sz w:val="24"/>
          <w:szCs w:val="20"/>
          <w:lang w:val="en-GB"/>
        </w:rPr>
        <w:t xml:space="preserve">ion of the </w:t>
      </w:r>
      <w:r w:rsidR="000A664F">
        <w:rPr>
          <w:rFonts w:ascii="Calibri" w:eastAsia="Calibri" w:hAnsi="Calibri" w:cs="Calibri"/>
          <w:sz w:val="24"/>
          <w:szCs w:val="20"/>
          <w:lang w:val="en-GB"/>
        </w:rPr>
        <w:t xml:space="preserve">award of </w:t>
      </w:r>
      <w:r w:rsidR="00557974">
        <w:rPr>
          <w:rFonts w:ascii="Calibri" w:eastAsia="Calibri" w:hAnsi="Calibri" w:cs="Calibri"/>
          <w:sz w:val="24"/>
          <w:szCs w:val="20"/>
          <w:lang w:val="en-GB"/>
        </w:rPr>
        <w:t xml:space="preserve">defence and security contracts in the </w:t>
      </w:r>
      <w:r w:rsidR="000510F3">
        <w:rPr>
          <w:rFonts w:ascii="Calibri" w:eastAsia="Calibri" w:hAnsi="Calibri" w:cs="Calibri"/>
          <w:sz w:val="24"/>
          <w:szCs w:val="20"/>
          <w:lang w:val="en-GB"/>
        </w:rPr>
        <w:t>secondary legislation.</w:t>
      </w:r>
    </w:p>
    <w:p w:rsidR="001E4808" w:rsidRDefault="00B16A34"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t xml:space="preserve">The advantages of this option are mainly related with the user-friendliness of the law which is already overloaded with public sector, utilities and possibly review and remedies provisions. </w:t>
      </w:r>
      <w:r w:rsidR="001E4808">
        <w:rPr>
          <w:rFonts w:ascii="Calibri" w:eastAsia="Calibri" w:hAnsi="Calibri" w:cs="Calibri"/>
          <w:sz w:val="24"/>
          <w:szCs w:val="20"/>
          <w:lang w:val="en-GB"/>
        </w:rPr>
        <w:t xml:space="preserve">By providing a specific defence and security regulation in the form </w:t>
      </w:r>
      <w:r w:rsidR="000A664F">
        <w:rPr>
          <w:rFonts w:ascii="Calibri" w:eastAsia="Calibri" w:hAnsi="Calibri" w:cs="Calibri"/>
          <w:sz w:val="24"/>
          <w:szCs w:val="20"/>
          <w:lang w:val="en-GB"/>
        </w:rPr>
        <w:t xml:space="preserve">of, </w:t>
      </w:r>
      <w:r w:rsidR="00F24666">
        <w:rPr>
          <w:rFonts w:ascii="Calibri" w:eastAsia="Calibri" w:hAnsi="Calibri" w:cs="Calibri"/>
          <w:sz w:val="24"/>
          <w:szCs w:val="20"/>
          <w:lang w:val="en-GB"/>
        </w:rPr>
        <w:t xml:space="preserve">for example </w:t>
      </w:r>
      <w:r w:rsidR="001E4808">
        <w:rPr>
          <w:rFonts w:ascii="Calibri" w:eastAsia="Calibri" w:hAnsi="Calibri" w:cs="Calibri"/>
          <w:sz w:val="24"/>
          <w:szCs w:val="20"/>
          <w:lang w:val="en-GB"/>
        </w:rPr>
        <w:t>government regulation</w:t>
      </w:r>
      <w:r w:rsidR="000A664F">
        <w:rPr>
          <w:rFonts w:ascii="Calibri" w:eastAsia="Calibri" w:hAnsi="Calibri" w:cs="Calibri"/>
          <w:sz w:val="24"/>
          <w:szCs w:val="20"/>
          <w:lang w:val="en-GB"/>
        </w:rPr>
        <w:t>,</w:t>
      </w:r>
      <w:r w:rsidR="001E4808">
        <w:rPr>
          <w:rFonts w:ascii="Calibri" w:eastAsia="Calibri" w:hAnsi="Calibri" w:cs="Calibri"/>
          <w:sz w:val="24"/>
          <w:szCs w:val="20"/>
          <w:lang w:val="en-GB"/>
        </w:rPr>
        <w:t xml:space="preserve"> the main structure of the law would seem to be intact. This option is especially worth considering in a case when there is already a public procurement law adopted and there is a decision to transpose the Defence Directive by amending already existing law.</w:t>
      </w:r>
    </w:p>
    <w:p w:rsidR="00F24666" w:rsidRDefault="00F24666"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t xml:space="preserve">Another advantage of this option is related to the fact that </w:t>
      </w:r>
      <w:r w:rsidR="00FE6D2E">
        <w:rPr>
          <w:rFonts w:ascii="Calibri" w:eastAsia="Calibri" w:hAnsi="Calibri" w:cs="Calibri"/>
          <w:sz w:val="24"/>
          <w:szCs w:val="20"/>
          <w:lang w:val="en-GB"/>
        </w:rPr>
        <w:t xml:space="preserve">in reality </w:t>
      </w:r>
      <w:r w:rsidR="000A664F">
        <w:rPr>
          <w:rFonts w:ascii="Calibri" w:eastAsia="Calibri" w:hAnsi="Calibri" w:cs="Calibri"/>
          <w:sz w:val="24"/>
          <w:szCs w:val="20"/>
          <w:lang w:val="en-GB"/>
        </w:rPr>
        <w:t xml:space="preserve">there is </w:t>
      </w:r>
      <w:r>
        <w:rPr>
          <w:rFonts w:ascii="Calibri" w:eastAsia="Calibri" w:hAnsi="Calibri" w:cs="Calibri"/>
          <w:sz w:val="24"/>
          <w:szCs w:val="20"/>
          <w:lang w:val="en-GB"/>
        </w:rPr>
        <w:t xml:space="preserve">only a limited number of contracting authorities in the field of defence and security </w:t>
      </w:r>
      <w:r w:rsidR="000A664F">
        <w:rPr>
          <w:rFonts w:ascii="Calibri" w:eastAsia="Calibri" w:hAnsi="Calibri" w:cs="Calibri"/>
          <w:sz w:val="24"/>
          <w:szCs w:val="20"/>
          <w:lang w:val="en-GB"/>
        </w:rPr>
        <w:t xml:space="preserve">that </w:t>
      </w:r>
      <w:r>
        <w:rPr>
          <w:rFonts w:ascii="Calibri" w:eastAsia="Calibri" w:hAnsi="Calibri" w:cs="Calibri"/>
          <w:sz w:val="24"/>
          <w:szCs w:val="20"/>
          <w:lang w:val="en-GB"/>
        </w:rPr>
        <w:t xml:space="preserve">will actually apply the </w:t>
      </w:r>
      <w:r w:rsidR="000A664F">
        <w:rPr>
          <w:rFonts w:ascii="Calibri" w:eastAsia="Calibri" w:hAnsi="Calibri" w:cs="Calibri"/>
          <w:sz w:val="24"/>
          <w:szCs w:val="20"/>
          <w:lang w:val="en-GB"/>
        </w:rPr>
        <w:t>specific defence provisions</w:t>
      </w:r>
      <w:r>
        <w:rPr>
          <w:rFonts w:ascii="Calibri" w:eastAsia="Calibri" w:hAnsi="Calibri" w:cs="Calibri"/>
          <w:sz w:val="24"/>
          <w:szCs w:val="20"/>
          <w:lang w:val="en-GB"/>
        </w:rPr>
        <w:t>. This seems to be a valid reason to have the defence and security procurement regulated in the secondary legislation and not in the law.</w:t>
      </w:r>
    </w:p>
    <w:p w:rsidR="00B16A34" w:rsidRDefault="00B16A34"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t xml:space="preserve">From this point of </w:t>
      </w:r>
      <w:r w:rsidR="001E4808">
        <w:rPr>
          <w:rFonts w:ascii="Calibri" w:eastAsia="Calibri" w:hAnsi="Calibri" w:cs="Calibri"/>
          <w:sz w:val="24"/>
          <w:szCs w:val="20"/>
          <w:lang w:val="en-GB"/>
        </w:rPr>
        <w:t>view,</w:t>
      </w:r>
      <w:r>
        <w:rPr>
          <w:rFonts w:ascii="Calibri" w:eastAsia="Calibri" w:hAnsi="Calibri" w:cs="Calibri"/>
          <w:sz w:val="24"/>
          <w:szCs w:val="20"/>
          <w:lang w:val="en-GB"/>
        </w:rPr>
        <w:t xml:space="preserve"> the option to regulate a majority of defence related provi</w:t>
      </w:r>
      <w:r w:rsidR="001E4808">
        <w:rPr>
          <w:rFonts w:ascii="Calibri" w:eastAsia="Calibri" w:hAnsi="Calibri" w:cs="Calibri"/>
          <w:sz w:val="24"/>
          <w:szCs w:val="20"/>
          <w:lang w:val="en-GB"/>
        </w:rPr>
        <w:t>sions in secondary legislation appears to make sense.</w:t>
      </w:r>
    </w:p>
    <w:p w:rsidR="002153EC" w:rsidRDefault="00B16A34" w:rsidP="00DB318D">
      <w:pPr>
        <w:keepNext w:val="0"/>
        <w:keepLines w:val="0"/>
        <w:spacing w:after="120" w:line="240" w:lineRule="auto"/>
        <w:jc w:val="both"/>
        <w:rPr>
          <w:rFonts w:ascii="Calibri" w:eastAsia="Calibri" w:hAnsi="Calibri" w:cs="Calibri"/>
          <w:sz w:val="24"/>
          <w:szCs w:val="20"/>
          <w:lang w:val="en-GB"/>
        </w:rPr>
      </w:pPr>
      <w:r w:rsidRPr="00E5725B">
        <w:rPr>
          <w:rFonts w:ascii="Calibri" w:eastAsia="Calibri" w:hAnsi="Calibri" w:cs="Calibri"/>
          <w:sz w:val="24"/>
          <w:szCs w:val="20"/>
          <w:lang w:val="en-GB"/>
        </w:rPr>
        <w:t>The disadvantages of this option</w:t>
      </w:r>
      <w:r w:rsidR="00F24666" w:rsidRPr="00E5725B">
        <w:rPr>
          <w:rFonts w:ascii="Calibri" w:eastAsia="Calibri" w:hAnsi="Calibri" w:cs="Calibri"/>
          <w:sz w:val="24"/>
          <w:szCs w:val="20"/>
          <w:lang w:val="en-GB"/>
        </w:rPr>
        <w:t xml:space="preserve"> are the mainly related to </w:t>
      </w:r>
      <w:r w:rsidR="00E5725B" w:rsidRPr="00E5725B">
        <w:rPr>
          <w:rFonts w:ascii="Calibri" w:eastAsia="Calibri" w:hAnsi="Calibri" w:cs="Calibri"/>
          <w:sz w:val="24"/>
          <w:szCs w:val="20"/>
          <w:lang w:val="en-GB"/>
        </w:rPr>
        <w:t>the fact that b</w:t>
      </w:r>
      <w:r w:rsidR="002153EC" w:rsidRPr="00E5725B">
        <w:rPr>
          <w:rFonts w:ascii="Calibri" w:eastAsia="Calibri" w:hAnsi="Calibri" w:cs="Calibri"/>
          <w:sz w:val="24"/>
          <w:szCs w:val="20"/>
          <w:lang w:val="en-GB"/>
        </w:rPr>
        <w:t xml:space="preserve">oth </w:t>
      </w:r>
      <w:r w:rsidR="00A0776B">
        <w:rPr>
          <w:rFonts w:ascii="Calibri" w:eastAsia="Calibri" w:hAnsi="Calibri" w:cs="Calibri"/>
          <w:sz w:val="24"/>
          <w:szCs w:val="20"/>
          <w:lang w:val="en-GB"/>
        </w:rPr>
        <w:t xml:space="preserve">the </w:t>
      </w:r>
      <w:r w:rsidR="002153EC" w:rsidRPr="00E5725B">
        <w:rPr>
          <w:rFonts w:ascii="Calibri" w:eastAsia="Calibri" w:hAnsi="Calibri" w:cs="Calibri"/>
          <w:sz w:val="24"/>
          <w:szCs w:val="20"/>
          <w:lang w:val="en-GB"/>
        </w:rPr>
        <w:t xml:space="preserve">Defence and </w:t>
      </w:r>
      <w:r w:rsidR="00A0776B">
        <w:rPr>
          <w:rFonts w:ascii="Calibri" w:eastAsia="Calibri" w:hAnsi="Calibri" w:cs="Calibri"/>
          <w:sz w:val="24"/>
          <w:szCs w:val="20"/>
          <w:lang w:val="en-GB"/>
        </w:rPr>
        <w:t xml:space="preserve">the </w:t>
      </w:r>
      <w:r w:rsidR="002153EC" w:rsidRPr="00E5725B">
        <w:rPr>
          <w:rFonts w:ascii="Calibri" w:eastAsia="Calibri" w:hAnsi="Calibri" w:cs="Calibri"/>
          <w:sz w:val="24"/>
          <w:szCs w:val="20"/>
          <w:lang w:val="en-GB"/>
        </w:rPr>
        <w:t xml:space="preserve">Public Sector Directive (as well as </w:t>
      </w:r>
      <w:r w:rsidR="00A0776B">
        <w:rPr>
          <w:rFonts w:ascii="Calibri" w:eastAsia="Calibri" w:hAnsi="Calibri" w:cs="Calibri"/>
          <w:sz w:val="24"/>
          <w:szCs w:val="20"/>
          <w:lang w:val="en-GB"/>
        </w:rPr>
        <w:t xml:space="preserve">the </w:t>
      </w:r>
      <w:r w:rsidR="002153EC" w:rsidRPr="00E5725B">
        <w:rPr>
          <w:rFonts w:ascii="Calibri" w:eastAsia="Calibri" w:hAnsi="Calibri" w:cs="Calibri"/>
          <w:sz w:val="24"/>
          <w:szCs w:val="20"/>
          <w:lang w:val="en-GB"/>
        </w:rPr>
        <w:t xml:space="preserve">Utilities Directive) </w:t>
      </w:r>
      <w:r w:rsidR="00E5725B" w:rsidRPr="00E5725B">
        <w:rPr>
          <w:rFonts w:ascii="Calibri" w:eastAsia="Calibri" w:hAnsi="Calibri" w:cs="Calibri"/>
          <w:sz w:val="24"/>
          <w:szCs w:val="20"/>
          <w:lang w:val="en-GB"/>
        </w:rPr>
        <w:t>share the similar structure.</w:t>
      </w:r>
      <w:r w:rsidR="00E5725B">
        <w:rPr>
          <w:rFonts w:ascii="Calibri" w:eastAsia="Calibri" w:hAnsi="Calibri" w:cs="Calibri"/>
          <w:sz w:val="24"/>
          <w:szCs w:val="20"/>
          <w:lang w:val="en-GB"/>
        </w:rPr>
        <w:t xml:space="preserve"> This structure is usually followed in national legislation, although variations are possible.</w:t>
      </w:r>
    </w:p>
    <w:p w:rsidR="002153EC" w:rsidRDefault="00E5725B"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t>In that respect, b</w:t>
      </w:r>
      <w:r w:rsidR="002153EC">
        <w:rPr>
          <w:rFonts w:ascii="Calibri" w:eastAsia="Calibri" w:hAnsi="Calibri" w:cs="Calibri"/>
          <w:sz w:val="24"/>
          <w:szCs w:val="20"/>
          <w:lang w:val="en-GB"/>
        </w:rPr>
        <w:t>y having a major part of the Defence Directive regulated in the secondary legislation the legislator is in a situation that force</w:t>
      </w:r>
      <w:r w:rsidR="00A0776B">
        <w:rPr>
          <w:rFonts w:ascii="Calibri" w:eastAsia="Calibri" w:hAnsi="Calibri" w:cs="Calibri"/>
          <w:sz w:val="24"/>
          <w:szCs w:val="20"/>
          <w:lang w:val="en-GB"/>
        </w:rPr>
        <w:t>s</w:t>
      </w:r>
      <w:r w:rsidR="002153EC">
        <w:rPr>
          <w:rFonts w:ascii="Calibri" w:eastAsia="Calibri" w:hAnsi="Calibri" w:cs="Calibri"/>
          <w:sz w:val="24"/>
          <w:szCs w:val="20"/>
          <w:lang w:val="en-GB"/>
        </w:rPr>
        <w:t xml:space="preserve"> him to take a different approach with regard to</w:t>
      </w:r>
      <w:r w:rsidR="00FE6D2E">
        <w:rPr>
          <w:rFonts w:ascii="Calibri" w:eastAsia="Calibri" w:hAnsi="Calibri" w:cs="Calibri"/>
          <w:sz w:val="24"/>
          <w:szCs w:val="20"/>
          <w:lang w:val="en-GB"/>
        </w:rPr>
        <w:t xml:space="preserve"> transposition of the </w:t>
      </w:r>
      <w:r w:rsidR="002153EC">
        <w:rPr>
          <w:rFonts w:ascii="Calibri" w:eastAsia="Calibri" w:hAnsi="Calibri" w:cs="Calibri"/>
          <w:sz w:val="24"/>
          <w:szCs w:val="20"/>
          <w:lang w:val="en-GB"/>
        </w:rPr>
        <w:t>Public Sector Directive as compared with approach taken with regard to Defence Directive. Basically, the problem lays in the fact that on</w:t>
      </w:r>
      <w:r w:rsidR="00FE6D2E">
        <w:rPr>
          <w:rFonts w:ascii="Calibri" w:eastAsia="Calibri" w:hAnsi="Calibri" w:cs="Calibri"/>
          <w:sz w:val="24"/>
          <w:szCs w:val="20"/>
          <w:lang w:val="en-GB"/>
        </w:rPr>
        <w:t xml:space="preserve"> one</w:t>
      </w:r>
      <w:r w:rsidR="002153EC">
        <w:rPr>
          <w:rFonts w:ascii="Calibri" w:eastAsia="Calibri" w:hAnsi="Calibri" w:cs="Calibri"/>
          <w:sz w:val="24"/>
          <w:szCs w:val="20"/>
          <w:lang w:val="en-GB"/>
        </w:rPr>
        <w:t xml:space="preserve"> hand – when transposing </w:t>
      </w:r>
      <w:r w:rsidR="00A0776B">
        <w:rPr>
          <w:rFonts w:ascii="Calibri" w:eastAsia="Calibri" w:hAnsi="Calibri" w:cs="Calibri"/>
          <w:sz w:val="24"/>
          <w:szCs w:val="20"/>
          <w:lang w:val="en-GB"/>
        </w:rPr>
        <w:t xml:space="preserve">the </w:t>
      </w:r>
      <w:r w:rsidR="002153EC">
        <w:rPr>
          <w:rFonts w:ascii="Calibri" w:eastAsia="Calibri" w:hAnsi="Calibri" w:cs="Calibri"/>
          <w:sz w:val="24"/>
          <w:szCs w:val="20"/>
          <w:lang w:val="en-GB"/>
        </w:rPr>
        <w:t xml:space="preserve">Public Sector Directive the relevant provisions, for example on procedures are in the law, and on the other – when transposing </w:t>
      </w:r>
      <w:r w:rsidR="00A0776B">
        <w:rPr>
          <w:rFonts w:ascii="Calibri" w:eastAsia="Calibri" w:hAnsi="Calibri" w:cs="Calibri"/>
          <w:sz w:val="24"/>
          <w:szCs w:val="20"/>
          <w:lang w:val="en-GB"/>
        </w:rPr>
        <w:t xml:space="preserve">the </w:t>
      </w:r>
      <w:r w:rsidR="002153EC">
        <w:rPr>
          <w:rFonts w:ascii="Calibri" w:eastAsia="Calibri" w:hAnsi="Calibri" w:cs="Calibri"/>
          <w:sz w:val="24"/>
          <w:szCs w:val="20"/>
          <w:lang w:val="en-GB"/>
        </w:rPr>
        <w:t xml:space="preserve">Defence Directive the </w:t>
      </w:r>
      <w:r w:rsidR="00FE6D2E">
        <w:rPr>
          <w:rFonts w:ascii="Calibri" w:eastAsia="Calibri" w:hAnsi="Calibri" w:cs="Calibri"/>
          <w:sz w:val="24"/>
          <w:szCs w:val="20"/>
          <w:lang w:val="en-GB"/>
        </w:rPr>
        <w:t xml:space="preserve">equivalent </w:t>
      </w:r>
      <w:r w:rsidR="000A664F">
        <w:rPr>
          <w:rFonts w:ascii="Calibri" w:eastAsia="Calibri" w:hAnsi="Calibri" w:cs="Calibri"/>
          <w:sz w:val="24"/>
          <w:szCs w:val="20"/>
          <w:lang w:val="en-GB"/>
        </w:rPr>
        <w:t xml:space="preserve">but adapted </w:t>
      </w:r>
      <w:r w:rsidR="00FE6D2E">
        <w:rPr>
          <w:rFonts w:ascii="Calibri" w:eastAsia="Calibri" w:hAnsi="Calibri" w:cs="Calibri"/>
          <w:sz w:val="24"/>
          <w:szCs w:val="20"/>
          <w:lang w:val="en-GB"/>
        </w:rPr>
        <w:t>defence</w:t>
      </w:r>
      <w:r w:rsidR="002153EC">
        <w:rPr>
          <w:rFonts w:ascii="Calibri" w:eastAsia="Calibri" w:hAnsi="Calibri" w:cs="Calibri"/>
          <w:sz w:val="24"/>
          <w:szCs w:val="20"/>
          <w:lang w:val="en-GB"/>
        </w:rPr>
        <w:t xml:space="preserve"> provisions are </w:t>
      </w:r>
      <w:r w:rsidR="00FE6D2E">
        <w:rPr>
          <w:rFonts w:ascii="Calibri" w:eastAsia="Calibri" w:hAnsi="Calibri" w:cs="Calibri"/>
          <w:sz w:val="24"/>
          <w:szCs w:val="20"/>
          <w:lang w:val="en-GB"/>
        </w:rPr>
        <w:t xml:space="preserve">placed </w:t>
      </w:r>
      <w:r w:rsidR="002153EC">
        <w:rPr>
          <w:rFonts w:ascii="Calibri" w:eastAsia="Calibri" w:hAnsi="Calibri" w:cs="Calibri"/>
          <w:sz w:val="24"/>
          <w:szCs w:val="20"/>
          <w:lang w:val="en-GB"/>
        </w:rPr>
        <w:t>in the secondary legislation.</w:t>
      </w:r>
      <w:r w:rsidR="00D31249">
        <w:rPr>
          <w:rFonts w:ascii="Calibri" w:eastAsia="Calibri" w:hAnsi="Calibri" w:cs="Calibri"/>
          <w:sz w:val="24"/>
          <w:szCs w:val="20"/>
          <w:lang w:val="en-GB"/>
        </w:rPr>
        <w:t xml:space="preserve"> Therefore, two similar sets of provisions would be provided in two different levels of national legislation, one in a basic law and one in a secondary legislation.</w:t>
      </w:r>
      <w:r w:rsidR="00545144">
        <w:rPr>
          <w:rFonts w:ascii="Calibri" w:eastAsia="Calibri" w:hAnsi="Calibri" w:cs="Calibri"/>
          <w:sz w:val="24"/>
          <w:szCs w:val="20"/>
          <w:lang w:val="en-GB"/>
        </w:rPr>
        <w:t xml:space="preserve"> </w:t>
      </w:r>
      <w:r w:rsidR="007C68FB">
        <w:rPr>
          <w:rFonts w:ascii="Calibri" w:eastAsia="Calibri" w:hAnsi="Calibri" w:cs="Calibri"/>
          <w:sz w:val="24"/>
          <w:szCs w:val="20"/>
          <w:lang w:val="en-GB"/>
        </w:rPr>
        <w:t xml:space="preserve">In addition, as it was explained above, </w:t>
      </w:r>
      <w:r w:rsidR="007C68FB" w:rsidRPr="00E5725B">
        <w:rPr>
          <w:rFonts w:ascii="Calibri" w:eastAsia="Calibri" w:hAnsi="Calibri" w:cs="Calibri"/>
          <w:sz w:val="24"/>
          <w:szCs w:val="20"/>
          <w:lang w:val="en-GB"/>
        </w:rPr>
        <w:t xml:space="preserve">the </w:t>
      </w:r>
      <w:r w:rsidR="007C68FB">
        <w:rPr>
          <w:rFonts w:ascii="Calibri" w:eastAsia="Calibri" w:hAnsi="Calibri" w:cs="Calibri"/>
          <w:sz w:val="24"/>
          <w:szCs w:val="20"/>
          <w:lang w:val="en-GB"/>
        </w:rPr>
        <w:t xml:space="preserve">Defence </w:t>
      </w:r>
      <w:r w:rsidR="007C68FB" w:rsidRPr="00E5725B">
        <w:rPr>
          <w:rFonts w:ascii="Calibri" w:eastAsia="Calibri" w:hAnsi="Calibri" w:cs="Calibri"/>
          <w:sz w:val="24"/>
          <w:szCs w:val="20"/>
          <w:lang w:val="en-GB"/>
        </w:rPr>
        <w:t xml:space="preserve">Directive </w:t>
      </w:r>
      <w:r w:rsidR="007C68FB">
        <w:rPr>
          <w:rFonts w:ascii="Calibri" w:eastAsia="Calibri" w:hAnsi="Calibri" w:cs="Calibri"/>
          <w:sz w:val="24"/>
          <w:szCs w:val="20"/>
          <w:lang w:val="en-GB"/>
        </w:rPr>
        <w:t xml:space="preserve">provides for some adapted provisions related to review and remedies </w:t>
      </w:r>
      <w:r w:rsidR="007C68FB" w:rsidRPr="00E5725B">
        <w:rPr>
          <w:rFonts w:ascii="Calibri" w:eastAsia="Calibri" w:hAnsi="Calibri" w:cs="Calibri"/>
          <w:sz w:val="24"/>
          <w:szCs w:val="20"/>
          <w:lang w:val="en-GB"/>
        </w:rPr>
        <w:t>to take the special characteristics of defence into account</w:t>
      </w:r>
      <w:r w:rsidR="007C68FB">
        <w:rPr>
          <w:rFonts w:ascii="Calibri" w:eastAsia="Calibri" w:hAnsi="Calibri" w:cs="Calibri"/>
          <w:sz w:val="24"/>
          <w:szCs w:val="20"/>
          <w:lang w:val="en-GB"/>
        </w:rPr>
        <w:t xml:space="preserve">. In this respect, if general review mechanism is regulated in public procurement law or specific law on review in public procurement, it is not appropriate to have those specific defence review provisions in a bylaw. </w:t>
      </w:r>
      <w:r w:rsidR="00545144">
        <w:rPr>
          <w:rFonts w:ascii="Calibri" w:eastAsia="Calibri" w:hAnsi="Calibri" w:cs="Calibri"/>
          <w:sz w:val="24"/>
          <w:szCs w:val="20"/>
          <w:lang w:val="en-GB"/>
        </w:rPr>
        <w:t xml:space="preserve">To put it simpler, when it comes to classical </w:t>
      </w:r>
      <w:r w:rsidR="007C68FB">
        <w:rPr>
          <w:rFonts w:ascii="Calibri" w:eastAsia="Calibri" w:hAnsi="Calibri" w:cs="Calibri"/>
          <w:sz w:val="24"/>
          <w:szCs w:val="20"/>
          <w:lang w:val="en-GB"/>
        </w:rPr>
        <w:t xml:space="preserve">and utilities </w:t>
      </w:r>
      <w:r w:rsidR="00545144">
        <w:rPr>
          <w:rFonts w:ascii="Calibri" w:eastAsia="Calibri" w:hAnsi="Calibri" w:cs="Calibri"/>
          <w:sz w:val="24"/>
          <w:szCs w:val="20"/>
          <w:lang w:val="en-GB"/>
        </w:rPr>
        <w:t xml:space="preserve">sector the provision of the same legal strength are placed in the law, and when it comes to defence sector the same type of provisions are in the bylaw. Legally it </w:t>
      </w:r>
      <w:r w:rsidR="007C68FB">
        <w:rPr>
          <w:rFonts w:ascii="Calibri" w:eastAsia="Calibri" w:hAnsi="Calibri" w:cs="Calibri"/>
          <w:sz w:val="24"/>
          <w:szCs w:val="20"/>
          <w:lang w:val="en-GB"/>
        </w:rPr>
        <w:t>is</w:t>
      </w:r>
      <w:r w:rsidR="00545144">
        <w:rPr>
          <w:rFonts w:ascii="Calibri" w:eastAsia="Calibri" w:hAnsi="Calibri" w:cs="Calibri"/>
          <w:sz w:val="24"/>
          <w:szCs w:val="20"/>
          <w:lang w:val="en-GB"/>
        </w:rPr>
        <w:t xml:space="preserve"> hard to find an argument for such an approach in the </w:t>
      </w:r>
      <w:r w:rsidR="00FE6D2E">
        <w:rPr>
          <w:rFonts w:ascii="Calibri" w:eastAsia="Calibri" w:hAnsi="Calibri" w:cs="Calibri"/>
          <w:sz w:val="24"/>
          <w:szCs w:val="20"/>
          <w:lang w:val="en-GB"/>
        </w:rPr>
        <w:t>leg</w:t>
      </w:r>
      <w:r w:rsidR="007C68FB">
        <w:rPr>
          <w:rFonts w:ascii="Calibri" w:eastAsia="Calibri" w:hAnsi="Calibri" w:cs="Calibri"/>
          <w:sz w:val="24"/>
          <w:szCs w:val="20"/>
          <w:lang w:val="en-GB"/>
        </w:rPr>
        <w:t>al</w:t>
      </w:r>
      <w:r w:rsidR="00FE6D2E">
        <w:rPr>
          <w:rFonts w:ascii="Calibri" w:eastAsia="Calibri" w:hAnsi="Calibri" w:cs="Calibri"/>
          <w:sz w:val="24"/>
          <w:szCs w:val="20"/>
          <w:lang w:val="en-GB"/>
        </w:rPr>
        <w:t xml:space="preserve"> </w:t>
      </w:r>
      <w:r w:rsidR="00545144">
        <w:rPr>
          <w:rFonts w:ascii="Calibri" w:eastAsia="Calibri" w:hAnsi="Calibri" w:cs="Calibri"/>
          <w:sz w:val="24"/>
          <w:szCs w:val="20"/>
          <w:lang w:val="en-GB"/>
        </w:rPr>
        <w:t>context.</w:t>
      </w:r>
    </w:p>
    <w:p w:rsidR="00433E03" w:rsidRPr="00CD60B5" w:rsidRDefault="003D2F1D" w:rsidP="00DB318D">
      <w:pPr>
        <w:pStyle w:val="Heading2"/>
        <w:keepNext w:val="0"/>
        <w:keepLines w:val="0"/>
        <w:rPr>
          <w:rFonts w:eastAsia="Calibri"/>
          <w:lang w:val="en-GB"/>
        </w:rPr>
      </w:pPr>
      <w:bookmarkStart w:id="12" w:name="_Toc419719680"/>
      <w:r>
        <w:rPr>
          <w:rFonts w:eastAsia="Calibri"/>
          <w:lang w:val="en-GB"/>
        </w:rPr>
        <w:t>3</w:t>
      </w:r>
      <w:r w:rsidR="005C3C9C">
        <w:rPr>
          <w:rFonts w:eastAsia="Calibri"/>
          <w:lang w:val="en-GB"/>
        </w:rPr>
        <w:t xml:space="preserve">.3 </w:t>
      </w:r>
      <w:r w:rsidR="00433E03">
        <w:rPr>
          <w:rFonts w:eastAsia="Calibri"/>
          <w:lang w:val="en-GB"/>
        </w:rPr>
        <w:t xml:space="preserve">Remedies </w:t>
      </w:r>
      <w:r w:rsidR="00433E03" w:rsidRPr="00CD60B5">
        <w:rPr>
          <w:rFonts w:eastAsia="Calibri"/>
          <w:lang w:val="en-GB"/>
        </w:rPr>
        <w:t>Directive</w:t>
      </w:r>
      <w:r w:rsidR="00433E03">
        <w:rPr>
          <w:rFonts w:eastAsia="Calibri"/>
          <w:lang w:val="en-GB"/>
        </w:rPr>
        <w:t>s</w:t>
      </w:r>
      <w:bookmarkEnd w:id="12"/>
      <w:r w:rsidR="00433E03" w:rsidRPr="00CD60B5">
        <w:rPr>
          <w:rFonts w:eastAsia="Calibri"/>
          <w:lang w:val="en-GB"/>
        </w:rPr>
        <w:t xml:space="preserve"> </w:t>
      </w:r>
    </w:p>
    <w:p w:rsidR="00106ECC" w:rsidRPr="00106ECC" w:rsidRDefault="00106ECC" w:rsidP="00DB318D">
      <w:pPr>
        <w:keepNext w:val="0"/>
        <w:keepLines w:val="0"/>
        <w:spacing w:after="120" w:line="240" w:lineRule="auto"/>
        <w:jc w:val="both"/>
        <w:rPr>
          <w:rFonts w:ascii="Calibri" w:eastAsia="Calibri" w:hAnsi="Calibri" w:cs="Calibri"/>
          <w:sz w:val="24"/>
          <w:szCs w:val="20"/>
          <w:lang w:val="en-GB"/>
        </w:rPr>
      </w:pPr>
      <w:r w:rsidRPr="00106ECC">
        <w:rPr>
          <w:rFonts w:ascii="Calibri" w:eastAsia="Calibri" w:hAnsi="Calibri" w:cs="Calibri"/>
          <w:sz w:val="24"/>
          <w:szCs w:val="20"/>
          <w:lang w:val="en-GB"/>
        </w:rPr>
        <w:t xml:space="preserve">Public Procurement legislation in the EU is aimed at creating a common market by ensuring that public contracts are awarded in an open, fair and transparent manner. The different systems and procedures envisaged in the Public Procurement Directives have been introduced </w:t>
      </w:r>
      <w:r w:rsidRPr="00106ECC">
        <w:rPr>
          <w:rFonts w:ascii="Calibri" w:eastAsia="Calibri" w:hAnsi="Calibri" w:cs="Calibri"/>
          <w:sz w:val="24"/>
          <w:szCs w:val="20"/>
          <w:lang w:val="en-GB"/>
        </w:rPr>
        <w:lastRenderedPageBreak/>
        <w:t xml:space="preserve">to facilitate domestic and non-domestic </w:t>
      </w:r>
      <w:r>
        <w:rPr>
          <w:rFonts w:ascii="Calibri" w:eastAsia="Calibri" w:hAnsi="Calibri" w:cs="Calibri"/>
          <w:sz w:val="24"/>
          <w:szCs w:val="20"/>
          <w:lang w:val="en-GB"/>
        </w:rPr>
        <w:t>economic operators</w:t>
      </w:r>
      <w:r w:rsidRPr="00106ECC">
        <w:rPr>
          <w:rFonts w:ascii="Calibri" w:eastAsia="Calibri" w:hAnsi="Calibri" w:cs="Calibri"/>
          <w:sz w:val="24"/>
          <w:szCs w:val="20"/>
          <w:lang w:val="en-GB"/>
        </w:rPr>
        <w:t xml:space="preserve"> to compete for business on an equal basis, while at the same time allowing </w:t>
      </w:r>
      <w:r>
        <w:rPr>
          <w:rFonts w:ascii="Calibri" w:eastAsia="Calibri" w:hAnsi="Calibri" w:cs="Calibri"/>
          <w:sz w:val="24"/>
          <w:szCs w:val="20"/>
          <w:lang w:val="en-GB"/>
        </w:rPr>
        <w:t xml:space="preserve">contracting authorities and entities </w:t>
      </w:r>
      <w:r w:rsidRPr="00106ECC">
        <w:rPr>
          <w:rFonts w:ascii="Calibri" w:eastAsia="Calibri" w:hAnsi="Calibri" w:cs="Calibri"/>
          <w:sz w:val="24"/>
          <w:szCs w:val="20"/>
          <w:lang w:val="en-GB"/>
        </w:rPr>
        <w:t>to obtain the best quality and price for their purchases. To complement the Public Procurement Directives, specific review and remedy procedures were introduced to coordinate national provisions.</w:t>
      </w:r>
      <w:r w:rsidRPr="00106ECC">
        <w:t xml:space="preserve"> </w:t>
      </w:r>
      <w:r w:rsidRPr="00106ECC">
        <w:rPr>
          <w:rFonts w:ascii="Calibri" w:eastAsia="Calibri" w:hAnsi="Calibri" w:cs="Calibri"/>
          <w:sz w:val="24"/>
          <w:szCs w:val="20"/>
          <w:lang w:val="en-GB"/>
        </w:rPr>
        <w:t>Remedies are legal actions available to economic operators participating in contract award procedures, which allow them to request the enforcement of public procurement regulations and their rights under those regulations in cases where contracting authorities, either intentionally or unintentionally, fail to comply with the legal framework for public procurement.</w:t>
      </w:r>
    </w:p>
    <w:p w:rsidR="00106ECC" w:rsidRPr="00433E03" w:rsidRDefault="00106ECC"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t>T</w:t>
      </w:r>
      <w:r w:rsidRPr="00433E03">
        <w:rPr>
          <w:rFonts w:ascii="Calibri" w:eastAsia="Calibri" w:hAnsi="Calibri" w:cs="Calibri"/>
          <w:sz w:val="24"/>
          <w:szCs w:val="20"/>
          <w:lang w:val="en-GB"/>
        </w:rPr>
        <w:t>he legal framework on remedies is found in the following directives:</w:t>
      </w:r>
    </w:p>
    <w:p w:rsidR="00106ECC" w:rsidRPr="00433E03" w:rsidRDefault="00106ECC" w:rsidP="00DB318D">
      <w:pPr>
        <w:pStyle w:val="ListParagraph"/>
        <w:keepNext w:val="0"/>
        <w:keepLines w:val="0"/>
        <w:numPr>
          <w:ilvl w:val="0"/>
          <w:numId w:val="8"/>
        </w:numPr>
        <w:spacing w:after="120" w:line="240" w:lineRule="auto"/>
        <w:ind w:left="714" w:hanging="357"/>
        <w:contextualSpacing w:val="0"/>
        <w:jc w:val="both"/>
        <w:rPr>
          <w:rFonts w:ascii="Calibri" w:eastAsia="Calibri" w:hAnsi="Calibri" w:cs="Calibri"/>
          <w:sz w:val="24"/>
          <w:szCs w:val="20"/>
          <w:lang w:val="en-GB"/>
        </w:rPr>
      </w:pPr>
      <w:r w:rsidRPr="00433E03">
        <w:rPr>
          <w:rFonts w:ascii="Calibri" w:eastAsia="Calibri" w:hAnsi="Calibri" w:cs="Calibri"/>
          <w:sz w:val="24"/>
          <w:szCs w:val="20"/>
          <w:lang w:val="en-GB"/>
        </w:rPr>
        <w:t>Directive 89/665/EEC</w:t>
      </w:r>
      <w:r>
        <w:rPr>
          <w:rStyle w:val="FootnoteReference"/>
          <w:rFonts w:ascii="Calibri" w:eastAsia="Calibri" w:hAnsi="Calibri" w:cs="Calibri"/>
          <w:sz w:val="24"/>
          <w:szCs w:val="20"/>
          <w:lang w:val="en-GB"/>
        </w:rPr>
        <w:footnoteReference w:id="5"/>
      </w:r>
      <w:r w:rsidRPr="00433E03">
        <w:rPr>
          <w:rFonts w:ascii="Calibri" w:eastAsia="Calibri" w:hAnsi="Calibri" w:cs="Calibri"/>
          <w:sz w:val="24"/>
          <w:szCs w:val="20"/>
          <w:lang w:val="en-GB"/>
        </w:rPr>
        <w:t xml:space="preserve"> </w:t>
      </w:r>
      <w:r>
        <w:rPr>
          <w:rFonts w:ascii="Calibri" w:eastAsia="Calibri" w:hAnsi="Calibri" w:cs="Calibri"/>
          <w:sz w:val="24"/>
          <w:szCs w:val="20"/>
          <w:lang w:val="en-GB"/>
        </w:rPr>
        <w:t xml:space="preserve">which </w:t>
      </w:r>
      <w:r w:rsidRPr="00433E03">
        <w:rPr>
          <w:rFonts w:ascii="Calibri" w:eastAsia="Calibri" w:hAnsi="Calibri" w:cs="Calibri"/>
          <w:sz w:val="24"/>
          <w:szCs w:val="20"/>
          <w:lang w:val="en-GB"/>
        </w:rPr>
        <w:t xml:space="preserve">regulates remedies available to economic operators </w:t>
      </w:r>
      <w:r w:rsidR="005619E9">
        <w:rPr>
          <w:rFonts w:ascii="Calibri" w:eastAsia="Calibri" w:hAnsi="Calibri" w:cs="Calibri"/>
          <w:sz w:val="24"/>
          <w:szCs w:val="20"/>
          <w:lang w:val="en-GB"/>
        </w:rPr>
        <w:t>related to</w:t>
      </w:r>
      <w:r w:rsidRPr="00433E03">
        <w:rPr>
          <w:rFonts w:ascii="Calibri" w:eastAsia="Calibri" w:hAnsi="Calibri" w:cs="Calibri"/>
          <w:sz w:val="24"/>
          <w:szCs w:val="20"/>
          <w:lang w:val="en-GB"/>
        </w:rPr>
        <w:t xml:space="preserve"> public</w:t>
      </w:r>
      <w:r>
        <w:rPr>
          <w:rFonts w:ascii="Calibri" w:eastAsia="Calibri" w:hAnsi="Calibri" w:cs="Calibri"/>
          <w:sz w:val="24"/>
          <w:szCs w:val="20"/>
          <w:lang w:val="en-GB"/>
        </w:rPr>
        <w:t xml:space="preserve"> </w:t>
      </w:r>
      <w:r w:rsidRPr="00433E03">
        <w:rPr>
          <w:rFonts w:ascii="Calibri" w:eastAsia="Calibri" w:hAnsi="Calibri" w:cs="Calibri"/>
          <w:sz w:val="24"/>
          <w:szCs w:val="20"/>
          <w:lang w:val="en-GB"/>
        </w:rPr>
        <w:t>sector contract</w:t>
      </w:r>
      <w:r w:rsidR="005619E9">
        <w:rPr>
          <w:rFonts w:ascii="Calibri" w:eastAsia="Calibri" w:hAnsi="Calibri" w:cs="Calibri"/>
          <w:sz w:val="24"/>
          <w:szCs w:val="20"/>
          <w:lang w:val="en-GB"/>
        </w:rPr>
        <w:t>s</w:t>
      </w:r>
      <w:r w:rsidRPr="00433E03">
        <w:rPr>
          <w:rFonts w:ascii="Calibri" w:eastAsia="Calibri" w:hAnsi="Calibri" w:cs="Calibri"/>
          <w:sz w:val="24"/>
          <w:szCs w:val="20"/>
          <w:lang w:val="en-GB"/>
        </w:rPr>
        <w:t>.</w:t>
      </w:r>
    </w:p>
    <w:p w:rsidR="00106ECC" w:rsidRPr="00433E03" w:rsidRDefault="00106ECC" w:rsidP="00DB318D">
      <w:pPr>
        <w:pStyle w:val="ListParagraph"/>
        <w:keepNext w:val="0"/>
        <w:keepLines w:val="0"/>
        <w:numPr>
          <w:ilvl w:val="0"/>
          <w:numId w:val="8"/>
        </w:numPr>
        <w:spacing w:after="120" w:line="240" w:lineRule="auto"/>
        <w:ind w:left="714" w:hanging="357"/>
        <w:contextualSpacing w:val="0"/>
        <w:jc w:val="both"/>
        <w:rPr>
          <w:rFonts w:ascii="Calibri" w:eastAsia="Calibri" w:hAnsi="Calibri" w:cs="Calibri"/>
          <w:sz w:val="24"/>
          <w:szCs w:val="20"/>
          <w:lang w:val="en-GB"/>
        </w:rPr>
      </w:pPr>
      <w:r w:rsidRPr="00433E03">
        <w:rPr>
          <w:rFonts w:ascii="Calibri" w:eastAsia="Calibri" w:hAnsi="Calibri" w:cs="Calibri"/>
          <w:sz w:val="24"/>
          <w:szCs w:val="20"/>
          <w:lang w:val="en-GB"/>
        </w:rPr>
        <w:t>Directive 92/13/EEC</w:t>
      </w:r>
      <w:r>
        <w:rPr>
          <w:rStyle w:val="FootnoteReference"/>
          <w:rFonts w:ascii="Calibri" w:eastAsia="Calibri" w:hAnsi="Calibri" w:cs="Calibri"/>
          <w:sz w:val="24"/>
          <w:szCs w:val="20"/>
          <w:lang w:val="en-GB"/>
        </w:rPr>
        <w:footnoteReference w:id="6"/>
      </w:r>
      <w:r>
        <w:rPr>
          <w:rFonts w:ascii="Calibri" w:eastAsia="Calibri" w:hAnsi="Calibri" w:cs="Calibri"/>
          <w:sz w:val="24"/>
          <w:szCs w:val="20"/>
          <w:lang w:val="en-GB"/>
        </w:rPr>
        <w:t xml:space="preserve"> which</w:t>
      </w:r>
      <w:r w:rsidRPr="00433E03">
        <w:rPr>
          <w:rFonts w:ascii="Calibri" w:eastAsia="Calibri" w:hAnsi="Calibri" w:cs="Calibri"/>
          <w:sz w:val="24"/>
          <w:szCs w:val="20"/>
          <w:lang w:val="en-GB"/>
        </w:rPr>
        <w:t xml:space="preserve"> regulates remedies available to economic operators </w:t>
      </w:r>
      <w:r w:rsidR="005619E9">
        <w:rPr>
          <w:rFonts w:ascii="Calibri" w:eastAsia="Calibri" w:hAnsi="Calibri" w:cs="Calibri"/>
          <w:sz w:val="24"/>
          <w:szCs w:val="20"/>
          <w:lang w:val="en-GB"/>
        </w:rPr>
        <w:t>related to</w:t>
      </w:r>
      <w:r w:rsidRPr="00433E03">
        <w:rPr>
          <w:rFonts w:ascii="Calibri" w:eastAsia="Calibri" w:hAnsi="Calibri" w:cs="Calibri"/>
          <w:sz w:val="24"/>
          <w:szCs w:val="20"/>
          <w:lang w:val="en-GB"/>
        </w:rPr>
        <w:t xml:space="preserve"> utilities</w:t>
      </w:r>
      <w:r>
        <w:rPr>
          <w:rFonts w:ascii="Calibri" w:eastAsia="Calibri" w:hAnsi="Calibri" w:cs="Calibri"/>
          <w:sz w:val="24"/>
          <w:szCs w:val="20"/>
          <w:lang w:val="en-GB"/>
        </w:rPr>
        <w:t xml:space="preserve"> </w:t>
      </w:r>
      <w:r w:rsidRPr="00433E03">
        <w:rPr>
          <w:rFonts w:ascii="Calibri" w:eastAsia="Calibri" w:hAnsi="Calibri" w:cs="Calibri"/>
          <w:sz w:val="24"/>
          <w:szCs w:val="20"/>
          <w:lang w:val="en-GB"/>
        </w:rPr>
        <w:t>contract</w:t>
      </w:r>
      <w:r w:rsidR="005619E9">
        <w:rPr>
          <w:rFonts w:ascii="Calibri" w:eastAsia="Calibri" w:hAnsi="Calibri" w:cs="Calibri"/>
          <w:sz w:val="24"/>
          <w:szCs w:val="20"/>
          <w:lang w:val="en-GB"/>
        </w:rPr>
        <w:t>s</w:t>
      </w:r>
      <w:r w:rsidRPr="00433E03">
        <w:rPr>
          <w:rFonts w:ascii="Calibri" w:eastAsia="Calibri" w:hAnsi="Calibri" w:cs="Calibri"/>
          <w:sz w:val="24"/>
          <w:szCs w:val="20"/>
          <w:lang w:val="en-GB"/>
        </w:rPr>
        <w:t>.</w:t>
      </w:r>
    </w:p>
    <w:p w:rsidR="00106ECC" w:rsidRDefault="001D6F43" w:rsidP="00DB318D">
      <w:pPr>
        <w:keepNext w:val="0"/>
        <w:keepLines w:val="0"/>
        <w:spacing w:after="120" w:line="240" w:lineRule="auto"/>
        <w:jc w:val="both"/>
        <w:rPr>
          <w:rFonts w:ascii="Calibri" w:eastAsia="Calibri" w:hAnsi="Calibri" w:cs="Calibri"/>
          <w:sz w:val="24"/>
          <w:szCs w:val="20"/>
          <w:lang w:val="en-GB"/>
        </w:rPr>
      </w:pPr>
      <w:r w:rsidRPr="00433E03">
        <w:rPr>
          <w:rFonts w:ascii="Calibri" w:eastAsia="Calibri" w:hAnsi="Calibri" w:cs="Calibri"/>
          <w:sz w:val="24"/>
          <w:szCs w:val="20"/>
          <w:lang w:val="en-GB"/>
        </w:rPr>
        <w:t>Both directives were amended by</w:t>
      </w:r>
      <w:r w:rsidR="005619E9">
        <w:rPr>
          <w:rFonts w:ascii="Calibri" w:eastAsia="Calibri" w:hAnsi="Calibri" w:cs="Calibri"/>
          <w:sz w:val="24"/>
          <w:szCs w:val="20"/>
          <w:lang w:val="en-GB"/>
        </w:rPr>
        <w:t xml:space="preserve"> the</w:t>
      </w:r>
      <w:r w:rsidRPr="00433E03">
        <w:rPr>
          <w:rFonts w:ascii="Calibri" w:eastAsia="Calibri" w:hAnsi="Calibri" w:cs="Calibri"/>
          <w:sz w:val="24"/>
          <w:szCs w:val="20"/>
          <w:lang w:val="en-GB"/>
        </w:rPr>
        <w:t xml:space="preserve"> Directive 2007/66/EC</w:t>
      </w:r>
      <w:r>
        <w:rPr>
          <w:rStyle w:val="FootnoteReference"/>
          <w:rFonts w:ascii="Calibri" w:eastAsia="Calibri" w:hAnsi="Calibri" w:cs="Calibri"/>
          <w:sz w:val="24"/>
          <w:szCs w:val="20"/>
          <w:lang w:val="en-GB"/>
        </w:rPr>
        <w:footnoteReference w:id="7"/>
      </w:r>
      <w:r>
        <w:rPr>
          <w:rFonts w:ascii="Calibri" w:eastAsia="Calibri" w:hAnsi="Calibri" w:cs="Calibri"/>
          <w:sz w:val="24"/>
          <w:szCs w:val="20"/>
          <w:lang w:val="en-GB"/>
        </w:rPr>
        <w:t xml:space="preserve"> </w:t>
      </w:r>
      <w:r w:rsidRPr="00106ECC">
        <w:rPr>
          <w:rFonts w:ascii="Calibri" w:eastAsia="Calibri" w:hAnsi="Calibri" w:cs="Calibri"/>
          <w:sz w:val="24"/>
          <w:szCs w:val="20"/>
          <w:lang w:val="en-GB"/>
        </w:rPr>
        <w:t>with effect from the end of 2009</w:t>
      </w:r>
      <w:r>
        <w:rPr>
          <w:rFonts w:ascii="Calibri" w:eastAsia="Calibri" w:hAnsi="Calibri" w:cs="Calibri"/>
          <w:sz w:val="24"/>
          <w:szCs w:val="20"/>
          <w:lang w:val="en-GB"/>
        </w:rPr>
        <w:t xml:space="preserve">. </w:t>
      </w:r>
      <w:r w:rsidR="00106ECC" w:rsidRPr="00106ECC">
        <w:rPr>
          <w:rFonts w:ascii="Calibri" w:eastAsia="Calibri" w:hAnsi="Calibri" w:cs="Calibri"/>
          <w:sz w:val="24"/>
          <w:szCs w:val="20"/>
          <w:lang w:val="en-GB"/>
        </w:rPr>
        <w:t xml:space="preserve">The revision </w:t>
      </w:r>
      <w:r w:rsidR="005619E9">
        <w:rPr>
          <w:rFonts w:ascii="Calibri" w:eastAsia="Calibri" w:hAnsi="Calibri" w:cs="Calibri"/>
          <w:sz w:val="24"/>
          <w:szCs w:val="20"/>
          <w:lang w:val="en-GB"/>
        </w:rPr>
        <w:t xml:space="preserve">of the Directives </w:t>
      </w:r>
      <w:r w:rsidR="00106ECC" w:rsidRPr="00106ECC">
        <w:rPr>
          <w:rFonts w:ascii="Calibri" w:eastAsia="Calibri" w:hAnsi="Calibri" w:cs="Calibri"/>
          <w:sz w:val="24"/>
          <w:szCs w:val="20"/>
          <w:lang w:val="en-GB"/>
        </w:rPr>
        <w:t xml:space="preserve">introduced </w:t>
      </w:r>
      <w:r>
        <w:rPr>
          <w:rFonts w:ascii="Calibri" w:eastAsia="Calibri" w:hAnsi="Calibri" w:cs="Calibri"/>
          <w:sz w:val="24"/>
          <w:szCs w:val="20"/>
          <w:lang w:val="en-GB"/>
        </w:rPr>
        <w:t>a</w:t>
      </w:r>
      <w:r w:rsidR="00106ECC" w:rsidRPr="00106ECC">
        <w:rPr>
          <w:rFonts w:ascii="Calibri" w:eastAsia="Calibri" w:hAnsi="Calibri" w:cs="Calibri"/>
          <w:sz w:val="24"/>
          <w:szCs w:val="20"/>
          <w:lang w:val="en-GB"/>
        </w:rPr>
        <w:t xml:space="preserve"> standstill provision</w:t>
      </w:r>
      <w:r w:rsidR="005619E9">
        <w:rPr>
          <w:rFonts w:ascii="Calibri" w:eastAsia="Calibri" w:hAnsi="Calibri" w:cs="Calibri"/>
          <w:sz w:val="24"/>
          <w:szCs w:val="20"/>
          <w:lang w:val="en-GB"/>
        </w:rPr>
        <w:t xml:space="preserve"> which</w:t>
      </w:r>
      <w:r w:rsidR="00106ECC" w:rsidRPr="00106ECC">
        <w:rPr>
          <w:rFonts w:ascii="Calibri" w:eastAsia="Calibri" w:hAnsi="Calibri" w:cs="Calibri"/>
          <w:sz w:val="24"/>
          <w:szCs w:val="20"/>
          <w:lang w:val="en-GB"/>
        </w:rPr>
        <w:t xml:space="preserve"> gave bidders time to ask for a review before a contract </w:t>
      </w:r>
      <w:r w:rsidR="005619E9">
        <w:rPr>
          <w:rFonts w:ascii="Calibri" w:eastAsia="Calibri" w:hAnsi="Calibri" w:cs="Calibri"/>
          <w:sz w:val="24"/>
          <w:szCs w:val="20"/>
          <w:lang w:val="en-GB"/>
        </w:rPr>
        <w:t>is</w:t>
      </w:r>
      <w:r w:rsidR="00106ECC" w:rsidRPr="00106ECC">
        <w:rPr>
          <w:rFonts w:ascii="Calibri" w:eastAsia="Calibri" w:hAnsi="Calibri" w:cs="Calibri"/>
          <w:sz w:val="24"/>
          <w:szCs w:val="20"/>
          <w:lang w:val="en-GB"/>
        </w:rPr>
        <w:t xml:space="preserve"> signed. National review bodies were given the power to render contracts “ineffective” under certain conditions, or were also allowed to impose alternative penalties, such as fines or cutting short the duration of a contract. A new VEAT notice</w:t>
      </w:r>
      <w:r w:rsidR="005619E9">
        <w:rPr>
          <w:rStyle w:val="FootnoteReference"/>
          <w:rFonts w:ascii="Calibri" w:eastAsia="Calibri" w:hAnsi="Calibri" w:cs="Calibri"/>
          <w:sz w:val="24"/>
          <w:szCs w:val="20"/>
          <w:lang w:val="en-GB"/>
        </w:rPr>
        <w:footnoteReference w:id="8"/>
      </w:r>
      <w:r w:rsidR="00106ECC" w:rsidRPr="00106ECC">
        <w:rPr>
          <w:rFonts w:ascii="Calibri" w:eastAsia="Calibri" w:hAnsi="Calibri" w:cs="Calibri"/>
          <w:sz w:val="24"/>
          <w:szCs w:val="20"/>
          <w:lang w:val="en-GB"/>
        </w:rPr>
        <w:t xml:space="preserve"> was drawn up in order to allow </w:t>
      </w:r>
      <w:r>
        <w:rPr>
          <w:rFonts w:ascii="Calibri" w:eastAsia="Calibri" w:hAnsi="Calibri" w:cs="Calibri"/>
          <w:sz w:val="24"/>
          <w:szCs w:val="20"/>
          <w:lang w:val="en-GB"/>
        </w:rPr>
        <w:t>contracting authorities</w:t>
      </w:r>
      <w:r w:rsidR="00106ECC" w:rsidRPr="00106ECC">
        <w:rPr>
          <w:rFonts w:ascii="Calibri" w:eastAsia="Calibri" w:hAnsi="Calibri" w:cs="Calibri"/>
          <w:sz w:val="24"/>
          <w:szCs w:val="20"/>
          <w:lang w:val="en-GB"/>
        </w:rPr>
        <w:t xml:space="preserve"> to advertise the justified direct award of a contract and limit the scope for subsequent challenge.</w:t>
      </w:r>
    </w:p>
    <w:p w:rsidR="001D6F43" w:rsidRDefault="001D6F43"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t>I</w:t>
      </w:r>
      <w:r w:rsidRPr="001D6F43">
        <w:rPr>
          <w:rFonts w:ascii="Calibri" w:eastAsia="Calibri" w:hAnsi="Calibri" w:cs="Calibri"/>
          <w:sz w:val="24"/>
          <w:szCs w:val="20"/>
          <w:lang w:val="en-GB"/>
        </w:rPr>
        <w:t>n January 2014</w:t>
      </w:r>
      <w:r>
        <w:rPr>
          <w:rFonts w:ascii="Calibri" w:eastAsia="Calibri" w:hAnsi="Calibri" w:cs="Calibri"/>
          <w:sz w:val="24"/>
          <w:szCs w:val="20"/>
          <w:lang w:val="en-GB"/>
        </w:rPr>
        <w:t xml:space="preserve"> </w:t>
      </w:r>
      <w:r w:rsidR="00AC74B6">
        <w:rPr>
          <w:rFonts w:ascii="Calibri" w:eastAsia="Calibri" w:hAnsi="Calibri" w:cs="Calibri"/>
          <w:sz w:val="24"/>
          <w:szCs w:val="20"/>
          <w:lang w:val="en-GB"/>
        </w:rPr>
        <w:t>the</w:t>
      </w:r>
      <w:r w:rsidR="00AC74B6" w:rsidRPr="001D6F43">
        <w:rPr>
          <w:rFonts w:ascii="Calibri" w:eastAsia="Calibri" w:hAnsi="Calibri" w:cs="Calibri"/>
          <w:sz w:val="24"/>
          <w:szCs w:val="20"/>
          <w:lang w:val="en-GB"/>
        </w:rPr>
        <w:t xml:space="preserve"> </w:t>
      </w:r>
      <w:r>
        <w:rPr>
          <w:rFonts w:ascii="Calibri" w:eastAsia="Calibri" w:hAnsi="Calibri" w:cs="Calibri"/>
          <w:sz w:val="24"/>
          <w:szCs w:val="20"/>
          <w:lang w:val="en-GB"/>
        </w:rPr>
        <w:t>Concessions D</w:t>
      </w:r>
      <w:r w:rsidRPr="001D6F43">
        <w:rPr>
          <w:rFonts w:ascii="Calibri" w:eastAsia="Calibri" w:hAnsi="Calibri" w:cs="Calibri"/>
          <w:sz w:val="24"/>
          <w:szCs w:val="20"/>
          <w:lang w:val="en-GB"/>
        </w:rPr>
        <w:t>irective</w:t>
      </w:r>
      <w:r>
        <w:rPr>
          <w:rStyle w:val="FootnoteReference"/>
          <w:rFonts w:ascii="Calibri" w:eastAsia="Calibri" w:hAnsi="Calibri" w:cs="Calibri"/>
          <w:sz w:val="24"/>
          <w:szCs w:val="20"/>
          <w:lang w:val="en-GB"/>
        </w:rPr>
        <w:footnoteReference w:id="9"/>
      </w:r>
      <w:r w:rsidRPr="001D6F43">
        <w:rPr>
          <w:rFonts w:ascii="Calibri" w:eastAsia="Calibri" w:hAnsi="Calibri" w:cs="Calibri"/>
          <w:sz w:val="24"/>
          <w:szCs w:val="20"/>
          <w:lang w:val="en-GB"/>
        </w:rPr>
        <w:t xml:space="preserve"> was passed by the European Parliament and adopted by</w:t>
      </w:r>
      <w:r w:rsidR="00BF65BF">
        <w:rPr>
          <w:rFonts w:ascii="Calibri" w:eastAsia="Calibri" w:hAnsi="Calibri" w:cs="Calibri"/>
          <w:sz w:val="24"/>
          <w:szCs w:val="20"/>
          <w:lang w:val="en-GB"/>
        </w:rPr>
        <w:t xml:space="preserve"> the Council in February 2014.</w:t>
      </w:r>
      <w:r w:rsidRPr="001D6F43">
        <w:rPr>
          <w:rFonts w:ascii="Calibri" w:eastAsia="Calibri" w:hAnsi="Calibri" w:cs="Calibri"/>
          <w:sz w:val="24"/>
          <w:szCs w:val="20"/>
          <w:lang w:val="en-GB"/>
        </w:rPr>
        <w:t xml:space="preserve"> This directive aims to reduce current market distortion and inefficiencies resulting from the lack of legal certainty </w:t>
      </w:r>
      <w:r w:rsidR="00BF65BF">
        <w:rPr>
          <w:rFonts w:ascii="Calibri" w:eastAsia="Calibri" w:hAnsi="Calibri" w:cs="Calibri"/>
          <w:sz w:val="24"/>
          <w:szCs w:val="20"/>
          <w:lang w:val="en-GB"/>
        </w:rPr>
        <w:t>around concession contracts.</w:t>
      </w:r>
      <w:r w:rsidR="00BF65BF" w:rsidRPr="00BF65BF">
        <w:t xml:space="preserve"> </w:t>
      </w:r>
      <w:r w:rsidR="00BF65BF" w:rsidRPr="00BF65BF">
        <w:rPr>
          <w:sz w:val="24"/>
          <w:lang w:val="en-GB"/>
        </w:rPr>
        <w:t xml:space="preserve">It should be noted that concession contracts did not previously fall within the full remit of public procurement legislation as </w:t>
      </w:r>
      <w:r w:rsidR="00BF65BF">
        <w:rPr>
          <w:sz w:val="24"/>
          <w:lang w:val="en-GB"/>
        </w:rPr>
        <w:t xml:space="preserve">they </w:t>
      </w:r>
      <w:r w:rsidR="00BF65BF" w:rsidRPr="00BF65BF">
        <w:rPr>
          <w:sz w:val="24"/>
          <w:lang w:val="en-GB"/>
        </w:rPr>
        <w:t>were only partially covered by</w:t>
      </w:r>
      <w:r w:rsidR="00BF65BF">
        <w:rPr>
          <w:sz w:val="24"/>
          <w:lang w:val="en-GB"/>
        </w:rPr>
        <w:t xml:space="preserve"> the Public Sector</w:t>
      </w:r>
      <w:r w:rsidR="00BF65BF" w:rsidRPr="00BF65BF">
        <w:rPr>
          <w:sz w:val="24"/>
          <w:lang w:val="en-GB"/>
        </w:rPr>
        <w:t xml:space="preserve"> Directive. However, following the introduction of </w:t>
      </w:r>
      <w:r w:rsidR="00AC74B6">
        <w:rPr>
          <w:sz w:val="24"/>
          <w:lang w:val="en-GB"/>
        </w:rPr>
        <w:t xml:space="preserve">the </w:t>
      </w:r>
      <w:r w:rsidR="00BF65BF">
        <w:rPr>
          <w:sz w:val="24"/>
          <w:lang w:val="en-GB"/>
        </w:rPr>
        <w:t>Concessions Directive</w:t>
      </w:r>
      <w:r w:rsidR="00BF65BF" w:rsidRPr="00BF65BF">
        <w:rPr>
          <w:sz w:val="24"/>
          <w:lang w:val="en-GB"/>
        </w:rPr>
        <w:t>, the Remedies Directives now also appl</w:t>
      </w:r>
      <w:r w:rsidR="00AC74B6">
        <w:rPr>
          <w:sz w:val="24"/>
          <w:lang w:val="en-GB"/>
        </w:rPr>
        <w:t>ies</w:t>
      </w:r>
      <w:r w:rsidR="00BF65BF" w:rsidRPr="00BF65BF">
        <w:rPr>
          <w:sz w:val="24"/>
          <w:lang w:val="en-GB"/>
        </w:rPr>
        <w:t xml:space="preserve"> to concession contracts.</w:t>
      </w:r>
      <w:r w:rsidR="00BF65BF" w:rsidRPr="00BF65BF">
        <w:rPr>
          <w:sz w:val="24"/>
        </w:rPr>
        <w:t xml:space="preserve"> </w:t>
      </w:r>
      <w:r w:rsidR="00BF65BF">
        <w:rPr>
          <w:rFonts w:ascii="Calibri" w:eastAsia="Calibri" w:hAnsi="Calibri" w:cs="Calibri"/>
          <w:sz w:val="24"/>
          <w:szCs w:val="20"/>
          <w:lang w:val="en-GB"/>
        </w:rPr>
        <w:t>The Concessions Directive therefore amended</w:t>
      </w:r>
      <w:r w:rsidR="00BF65BF" w:rsidRPr="00BF65BF">
        <w:rPr>
          <w:rFonts w:ascii="Calibri" w:eastAsia="Calibri" w:hAnsi="Calibri" w:cs="Calibri"/>
          <w:sz w:val="24"/>
          <w:szCs w:val="20"/>
          <w:lang w:val="en-GB"/>
        </w:rPr>
        <w:t xml:space="preserve"> the Remedies Direc</w:t>
      </w:r>
      <w:r w:rsidR="00BF65BF">
        <w:rPr>
          <w:rFonts w:ascii="Calibri" w:eastAsia="Calibri" w:hAnsi="Calibri" w:cs="Calibri"/>
          <w:sz w:val="24"/>
          <w:szCs w:val="20"/>
          <w:lang w:val="en-GB"/>
        </w:rPr>
        <w:t xml:space="preserve">tives 89/665/EEC and 92/13/EEC </w:t>
      </w:r>
      <w:r w:rsidR="00BF65BF" w:rsidRPr="00BF65BF">
        <w:rPr>
          <w:rFonts w:ascii="Calibri" w:eastAsia="Calibri" w:hAnsi="Calibri" w:cs="Calibri"/>
          <w:sz w:val="24"/>
          <w:szCs w:val="20"/>
          <w:lang w:val="en-GB"/>
        </w:rPr>
        <w:t xml:space="preserve">mainly with regard to the extension of remedies and review measures to services concession covered by the new </w:t>
      </w:r>
      <w:r w:rsidR="00BF65BF">
        <w:rPr>
          <w:rFonts w:ascii="Calibri" w:eastAsia="Calibri" w:hAnsi="Calibri" w:cs="Calibri"/>
          <w:sz w:val="24"/>
          <w:szCs w:val="20"/>
          <w:lang w:val="en-GB"/>
        </w:rPr>
        <w:t xml:space="preserve">Concessions </w:t>
      </w:r>
      <w:r w:rsidR="00BF65BF" w:rsidRPr="00BF65BF">
        <w:rPr>
          <w:rFonts w:ascii="Calibri" w:eastAsia="Calibri" w:hAnsi="Calibri" w:cs="Calibri"/>
          <w:sz w:val="24"/>
          <w:szCs w:val="20"/>
          <w:lang w:val="en-GB"/>
        </w:rPr>
        <w:t>Di</w:t>
      </w:r>
      <w:r w:rsidR="00BF65BF">
        <w:rPr>
          <w:rFonts w:ascii="Calibri" w:eastAsia="Calibri" w:hAnsi="Calibri" w:cs="Calibri"/>
          <w:sz w:val="24"/>
          <w:szCs w:val="20"/>
          <w:lang w:val="en-GB"/>
        </w:rPr>
        <w:t>rective.</w:t>
      </w:r>
    </w:p>
    <w:p w:rsidR="00280230" w:rsidRDefault="00280230"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t>In addition, it has to be noted that t</w:t>
      </w:r>
      <w:r w:rsidRPr="00280230">
        <w:rPr>
          <w:rFonts w:ascii="Calibri" w:eastAsia="Calibri" w:hAnsi="Calibri" w:cs="Calibri"/>
          <w:sz w:val="24"/>
          <w:szCs w:val="20"/>
          <w:lang w:val="en-GB"/>
        </w:rPr>
        <w:t xml:space="preserve">he Defence Directive includes a comprehensive set of provisions </w:t>
      </w:r>
      <w:r>
        <w:rPr>
          <w:rFonts w:ascii="Calibri" w:eastAsia="Calibri" w:hAnsi="Calibri" w:cs="Calibri"/>
          <w:sz w:val="24"/>
          <w:szCs w:val="20"/>
          <w:lang w:val="en-GB"/>
        </w:rPr>
        <w:t>related to</w:t>
      </w:r>
      <w:r w:rsidRPr="00280230">
        <w:rPr>
          <w:rFonts w:ascii="Calibri" w:eastAsia="Calibri" w:hAnsi="Calibri" w:cs="Calibri"/>
          <w:sz w:val="24"/>
          <w:szCs w:val="20"/>
          <w:lang w:val="en-GB"/>
        </w:rPr>
        <w:t xml:space="preserve"> remedies available to aggrieved bidders</w:t>
      </w:r>
      <w:r>
        <w:rPr>
          <w:rFonts w:ascii="Calibri" w:eastAsia="Calibri" w:hAnsi="Calibri" w:cs="Calibri"/>
          <w:sz w:val="24"/>
          <w:szCs w:val="20"/>
          <w:lang w:val="en-GB"/>
        </w:rPr>
        <w:t xml:space="preserve"> in the context of defence contracts</w:t>
      </w:r>
      <w:r w:rsidRPr="00280230">
        <w:rPr>
          <w:rFonts w:ascii="Calibri" w:eastAsia="Calibri" w:hAnsi="Calibri" w:cs="Calibri"/>
          <w:sz w:val="24"/>
          <w:szCs w:val="20"/>
          <w:lang w:val="en-GB"/>
        </w:rPr>
        <w:t xml:space="preserve">. These provisions </w:t>
      </w:r>
      <w:r w:rsidR="00EB2BB8">
        <w:rPr>
          <w:rFonts w:ascii="Calibri" w:eastAsia="Calibri" w:hAnsi="Calibri" w:cs="Calibri"/>
          <w:sz w:val="24"/>
          <w:szCs w:val="20"/>
          <w:lang w:val="en-GB"/>
        </w:rPr>
        <w:t>mostly repeat</w:t>
      </w:r>
      <w:r w:rsidRPr="00280230">
        <w:rPr>
          <w:rFonts w:ascii="Calibri" w:eastAsia="Calibri" w:hAnsi="Calibri" w:cs="Calibri"/>
          <w:sz w:val="24"/>
          <w:szCs w:val="20"/>
          <w:lang w:val="en-GB"/>
        </w:rPr>
        <w:t xml:space="preserve"> </w:t>
      </w:r>
      <w:r w:rsidR="00AC74B6">
        <w:rPr>
          <w:rFonts w:ascii="Calibri" w:eastAsia="Calibri" w:hAnsi="Calibri" w:cs="Calibri"/>
          <w:sz w:val="24"/>
          <w:szCs w:val="20"/>
          <w:lang w:val="en-GB"/>
        </w:rPr>
        <w:t xml:space="preserve">the </w:t>
      </w:r>
      <w:r w:rsidRPr="00280230">
        <w:rPr>
          <w:rFonts w:ascii="Calibri" w:eastAsia="Calibri" w:hAnsi="Calibri" w:cs="Calibri"/>
          <w:sz w:val="24"/>
          <w:szCs w:val="20"/>
          <w:lang w:val="en-GB"/>
        </w:rPr>
        <w:t>Remedies Directives. However, the Defence Directive</w:t>
      </w:r>
      <w:r>
        <w:rPr>
          <w:rFonts w:ascii="Calibri" w:eastAsia="Calibri" w:hAnsi="Calibri" w:cs="Calibri"/>
          <w:sz w:val="24"/>
          <w:szCs w:val="20"/>
          <w:lang w:val="en-GB"/>
        </w:rPr>
        <w:t xml:space="preserve"> does not amend the Remedies Directives (as it is the case with </w:t>
      </w:r>
      <w:r w:rsidR="00AC74B6">
        <w:rPr>
          <w:rFonts w:ascii="Calibri" w:eastAsia="Calibri" w:hAnsi="Calibri" w:cs="Calibri"/>
          <w:sz w:val="24"/>
          <w:szCs w:val="20"/>
          <w:lang w:val="en-GB"/>
        </w:rPr>
        <w:t xml:space="preserve">the </w:t>
      </w:r>
      <w:r>
        <w:rPr>
          <w:rFonts w:ascii="Calibri" w:eastAsia="Calibri" w:hAnsi="Calibri" w:cs="Calibri"/>
          <w:sz w:val="24"/>
          <w:szCs w:val="20"/>
          <w:lang w:val="en-GB"/>
        </w:rPr>
        <w:t>new Concessions Directive). It regulates comprehensively the available remedies in a separate chapter</w:t>
      </w:r>
      <w:r w:rsidRPr="00280230">
        <w:rPr>
          <w:rFonts w:ascii="Calibri" w:eastAsia="Calibri" w:hAnsi="Calibri" w:cs="Calibri"/>
          <w:sz w:val="24"/>
          <w:szCs w:val="20"/>
          <w:lang w:val="en-GB"/>
        </w:rPr>
        <w:t>.</w:t>
      </w:r>
    </w:p>
    <w:p w:rsidR="00637A91" w:rsidRPr="00271449" w:rsidRDefault="00637A91" w:rsidP="00DB318D">
      <w:pPr>
        <w:pStyle w:val="Heading3"/>
        <w:keepNext w:val="0"/>
        <w:keepLines w:val="0"/>
        <w:rPr>
          <w:rFonts w:eastAsia="Calibri"/>
          <w:lang w:val="en-GB"/>
        </w:rPr>
      </w:pPr>
      <w:bookmarkStart w:id="13" w:name="_Toc419719681"/>
      <w:r w:rsidRPr="00271449">
        <w:rPr>
          <w:rFonts w:eastAsia="Calibri"/>
          <w:lang w:val="en-GB"/>
        </w:rPr>
        <w:lastRenderedPageBreak/>
        <w:t>Options for Serbia</w:t>
      </w:r>
      <w:bookmarkEnd w:id="13"/>
    </w:p>
    <w:p w:rsidR="00F26F1D" w:rsidRPr="00F26F1D" w:rsidRDefault="00F26F1D" w:rsidP="00DB318D">
      <w:pPr>
        <w:keepNext w:val="0"/>
        <w:keepLines w:val="0"/>
        <w:spacing w:after="120" w:line="240" w:lineRule="auto"/>
        <w:jc w:val="both"/>
        <w:rPr>
          <w:rFonts w:ascii="Calibri" w:eastAsia="Calibri" w:hAnsi="Calibri" w:cs="Calibri"/>
          <w:sz w:val="24"/>
          <w:szCs w:val="24"/>
          <w:lang w:val="en-US" w:eastAsia="de-DE"/>
        </w:rPr>
      </w:pPr>
      <w:r w:rsidRPr="00F26F1D">
        <w:rPr>
          <w:rFonts w:ascii="Calibri" w:eastAsia="Calibri" w:hAnsi="Calibri" w:cs="Calibri"/>
          <w:color w:val="000000"/>
          <w:sz w:val="24"/>
          <w:szCs w:val="24"/>
          <w:lang w:val="en-GB"/>
        </w:rPr>
        <w:t>It has to be underlined that Member States enjoy a wide discretion when it comes to implementing the review systems contained in the Directive, which ‘</w:t>
      </w:r>
      <w:r w:rsidRPr="00F26F1D">
        <w:rPr>
          <w:rFonts w:ascii="Calibri" w:eastAsia="Calibri" w:hAnsi="Calibri" w:cs="Calibri"/>
          <w:i/>
          <w:color w:val="000000"/>
          <w:sz w:val="24"/>
          <w:szCs w:val="24"/>
          <w:lang w:val="en-GB"/>
        </w:rPr>
        <w:t>lays down only the minimum conditions to be satisfied by the review procedures established in domestic law to ensure compliance with the requirements of Community law concerning public contracts’.</w:t>
      </w:r>
    </w:p>
    <w:p w:rsidR="00F26F1D" w:rsidRPr="00F26F1D" w:rsidRDefault="00AC74B6" w:rsidP="00DB318D">
      <w:pPr>
        <w:keepNext w:val="0"/>
        <w:keepLines w:val="0"/>
        <w:spacing w:after="120" w:line="240" w:lineRule="auto"/>
        <w:jc w:val="both"/>
        <w:rPr>
          <w:rFonts w:ascii="Calibri" w:eastAsia="Calibri" w:hAnsi="Calibri" w:cs="Calibri"/>
          <w:sz w:val="24"/>
          <w:szCs w:val="24"/>
          <w:lang w:val="en-US" w:eastAsia="de-DE"/>
        </w:rPr>
      </w:pPr>
      <w:r>
        <w:rPr>
          <w:rFonts w:ascii="Calibri" w:eastAsia="Calibri" w:hAnsi="Calibri" w:cs="Calibri"/>
          <w:color w:val="000000"/>
          <w:sz w:val="24"/>
          <w:szCs w:val="24"/>
          <w:lang w:val="en-GB"/>
        </w:rPr>
        <w:t xml:space="preserve">The </w:t>
      </w:r>
      <w:r w:rsidR="00F26F1D" w:rsidRPr="00F26F1D">
        <w:rPr>
          <w:rFonts w:ascii="Calibri" w:eastAsia="Calibri" w:hAnsi="Calibri" w:cs="Calibri"/>
          <w:color w:val="000000"/>
          <w:sz w:val="24"/>
          <w:szCs w:val="24"/>
          <w:lang w:val="en-GB"/>
        </w:rPr>
        <w:t xml:space="preserve">Remedies </w:t>
      </w:r>
      <w:r w:rsidR="00854EA8">
        <w:rPr>
          <w:rFonts w:ascii="Calibri" w:eastAsia="Calibri" w:hAnsi="Calibri" w:cs="Calibri"/>
          <w:color w:val="000000"/>
          <w:sz w:val="24"/>
          <w:szCs w:val="24"/>
          <w:lang w:val="en-GB"/>
        </w:rPr>
        <w:t>D</w:t>
      </w:r>
      <w:r w:rsidR="00F26F1D" w:rsidRPr="00F26F1D">
        <w:rPr>
          <w:rFonts w:ascii="Calibri" w:eastAsia="Calibri" w:hAnsi="Calibri" w:cs="Calibri"/>
          <w:color w:val="000000"/>
          <w:sz w:val="24"/>
          <w:szCs w:val="24"/>
          <w:lang w:val="en-GB"/>
        </w:rPr>
        <w:t xml:space="preserve">irectives intended the final review of legality in the field of public procurement to rest with a judicial body. Either directly, where the first review body is a court, or indirectly, where the courts have the power to hear and determine an action brought against the decision of any administrative review body which may have been created, such as the </w:t>
      </w:r>
      <w:r w:rsidR="00F26F1D">
        <w:rPr>
          <w:rFonts w:ascii="Calibri" w:eastAsia="Calibri" w:hAnsi="Calibri" w:cs="Calibri"/>
          <w:color w:val="000000"/>
          <w:sz w:val="24"/>
          <w:szCs w:val="24"/>
          <w:lang w:val="en-GB"/>
        </w:rPr>
        <w:t>Republic Commission for the Protection of Rights in Public Procurement Procedures</w:t>
      </w:r>
      <w:r w:rsidR="00F26F1D" w:rsidRPr="00F26F1D">
        <w:rPr>
          <w:rFonts w:ascii="Calibri" w:eastAsia="Calibri" w:hAnsi="Calibri" w:cs="Calibri"/>
          <w:color w:val="000000"/>
          <w:sz w:val="24"/>
          <w:szCs w:val="24"/>
          <w:lang w:val="en-GB"/>
        </w:rPr>
        <w:t xml:space="preserve"> in </w:t>
      </w:r>
      <w:r w:rsidR="00F26F1D">
        <w:rPr>
          <w:rFonts w:ascii="Calibri" w:eastAsia="Calibri" w:hAnsi="Calibri" w:cs="Calibri"/>
          <w:color w:val="000000"/>
          <w:sz w:val="24"/>
          <w:szCs w:val="24"/>
          <w:lang w:val="en-GB"/>
        </w:rPr>
        <w:t>Serbia</w:t>
      </w:r>
      <w:r w:rsidR="00F26F1D" w:rsidRPr="00F26F1D">
        <w:rPr>
          <w:rFonts w:ascii="Calibri" w:eastAsia="Calibri" w:hAnsi="Calibri" w:cs="Calibri"/>
          <w:color w:val="000000"/>
          <w:sz w:val="24"/>
          <w:szCs w:val="24"/>
          <w:lang w:val="en-GB"/>
        </w:rPr>
        <w:t xml:space="preserve">. </w:t>
      </w:r>
    </w:p>
    <w:p w:rsidR="00F26F1D" w:rsidRDefault="00F26F1D" w:rsidP="00DB318D">
      <w:pPr>
        <w:keepNext w:val="0"/>
        <w:keepLines w:val="0"/>
        <w:spacing w:after="120" w:line="240" w:lineRule="auto"/>
        <w:jc w:val="both"/>
        <w:rPr>
          <w:rFonts w:ascii="Calibri" w:eastAsia="Calibri" w:hAnsi="Calibri" w:cs="Calibri"/>
          <w:color w:val="000000"/>
          <w:sz w:val="24"/>
          <w:szCs w:val="24"/>
          <w:lang w:val="en-GB"/>
        </w:rPr>
      </w:pPr>
      <w:r w:rsidRPr="00F26F1D">
        <w:rPr>
          <w:rFonts w:ascii="Calibri" w:eastAsia="Calibri" w:hAnsi="Calibri" w:cs="Calibri"/>
          <w:color w:val="000000"/>
          <w:sz w:val="24"/>
          <w:szCs w:val="24"/>
          <w:lang w:val="en-GB"/>
        </w:rPr>
        <w:t>The remedies process</w:t>
      </w:r>
      <w:r>
        <w:rPr>
          <w:rFonts w:ascii="Calibri" w:eastAsia="Calibri" w:hAnsi="Calibri" w:cs="Calibri"/>
          <w:color w:val="000000"/>
          <w:sz w:val="24"/>
          <w:szCs w:val="24"/>
          <w:lang w:val="en-GB"/>
        </w:rPr>
        <w:t xml:space="preserve"> therefore</w:t>
      </w:r>
      <w:r w:rsidRPr="00F26F1D">
        <w:rPr>
          <w:rFonts w:ascii="Calibri" w:eastAsia="Calibri" w:hAnsi="Calibri" w:cs="Calibri"/>
          <w:color w:val="000000"/>
          <w:sz w:val="24"/>
          <w:szCs w:val="24"/>
          <w:lang w:val="en-GB"/>
        </w:rPr>
        <w:t xml:space="preserve"> varies from Member State to Member State according to how the Directives has been implemented and enforced in national law, and how effective the judicial systems are. Some countries have also developed informal procedures for solving issues of this nature. As such, the effectiveness of remedies in the public procurement area varies considerably across different Member States.</w:t>
      </w:r>
    </w:p>
    <w:p w:rsidR="00C33742" w:rsidRDefault="00F26F1D" w:rsidP="00DB318D">
      <w:pPr>
        <w:keepNext w:val="0"/>
        <w:keepLines w:val="0"/>
        <w:spacing w:after="120" w:line="240" w:lineRule="auto"/>
        <w:jc w:val="both"/>
        <w:rPr>
          <w:rFonts w:ascii="Calibri" w:eastAsia="Calibri" w:hAnsi="Calibri" w:cs="Calibri"/>
          <w:sz w:val="24"/>
          <w:szCs w:val="24"/>
          <w:lang w:val="en-GB"/>
        </w:rPr>
      </w:pPr>
      <w:r w:rsidRPr="00637A91">
        <w:rPr>
          <w:rFonts w:ascii="Calibri" w:eastAsia="Calibri" w:hAnsi="Calibri" w:cs="Calibri"/>
          <w:sz w:val="24"/>
          <w:szCs w:val="24"/>
          <w:lang w:val="en-GB"/>
        </w:rPr>
        <w:t xml:space="preserve">Options for Serbia regarding the </w:t>
      </w:r>
      <w:r w:rsidR="006779B0">
        <w:rPr>
          <w:rFonts w:ascii="Calibri" w:eastAsia="Calibri" w:hAnsi="Calibri" w:cs="Calibri"/>
          <w:sz w:val="24"/>
          <w:szCs w:val="24"/>
          <w:lang w:val="en-GB"/>
        </w:rPr>
        <w:t xml:space="preserve">form of </w:t>
      </w:r>
      <w:r w:rsidRPr="00637A91">
        <w:rPr>
          <w:rFonts w:ascii="Calibri" w:eastAsia="Calibri" w:hAnsi="Calibri" w:cs="Calibri"/>
          <w:sz w:val="24"/>
          <w:szCs w:val="24"/>
          <w:lang w:val="en-GB"/>
        </w:rPr>
        <w:t xml:space="preserve">transposition of </w:t>
      </w:r>
      <w:r w:rsidR="00854EA8">
        <w:rPr>
          <w:rFonts w:ascii="Calibri" w:eastAsia="Calibri" w:hAnsi="Calibri" w:cs="Calibri"/>
          <w:sz w:val="24"/>
          <w:szCs w:val="24"/>
          <w:lang w:val="en-GB"/>
        </w:rPr>
        <w:t xml:space="preserve">the </w:t>
      </w:r>
      <w:r w:rsidRPr="00637A91">
        <w:rPr>
          <w:rFonts w:ascii="Calibri" w:eastAsia="Calibri" w:hAnsi="Calibri" w:cs="Calibri"/>
          <w:sz w:val="24"/>
          <w:szCs w:val="24"/>
          <w:lang w:val="en-GB"/>
        </w:rPr>
        <w:t xml:space="preserve">Remedies Directives much depend on the approach taken with regard to transposition of </w:t>
      </w:r>
      <w:r w:rsidR="006F72B7">
        <w:rPr>
          <w:rFonts w:ascii="Calibri" w:eastAsia="Calibri" w:hAnsi="Calibri" w:cs="Calibri"/>
          <w:sz w:val="24"/>
          <w:szCs w:val="24"/>
          <w:lang w:val="en-GB"/>
        </w:rPr>
        <w:t xml:space="preserve">the </w:t>
      </w:r>
      <w:r w:rsidRPr="00637A91">
        <w:rPr>
          <w:rFonts w:ascii="Calibri" w:eastAsia="Calibri" w:hAnsi="Calibri" w:cs="Calibri"/>
          <w:sz w:val="24"/>
          <w:szCs w:val="24"/>
          <w:lang w:val="en-GB"/>
        </w:rPr>
        <w:t xml:space="preserve">Public Sector Directive, </w:t>
      </w:r>
      <w:r w:rsidR="006F72B7">
        <w:rPr>
          <w:rFonts w:ascii="Calibri" w:eastAsia="Calibri" w:hAnsi="Calibri" w:cs="Calibri"/>
          <w:sz w:val="24"/>
          <w:szCs w:val="24"/>
          <w:lang w:val="en-GB"/>
        </w:rPr>
        <w:t xml:space="preserve">the </w:t>
      </w:r>
      <w:r w:rsidRPr="00637A91">
        <w:rPr>
          <w:rFonts w:ascii="Calibri" w:eastAsia="Calibri" w:hAnsi="Calibri" w:cs="Calibri"/>
          <w:sz w:val="24"/>
          <w:szCs w:val="24"/>
          <w:lang w:val="en-GB"/>
        </w:rPr>
        <w:t xml:space="preserve">Utilities Directive and </w:t>
      </w:r>
      <w:r w:rsidR="006F72B7">
        <w:rPr>
          <w:rFonts w:ascii="Calibri" w:eastAsia="Calibri" w:hAnsi="Calibri" w:cs="Calibri"/>
          <w:sz w:val="24"/>
          <w:szCs w:val="24"/>
          <w:lang w:val="en-GB"/>
        </w:rPr>
        <w:t xml:space="preserve">the </w:t>
      </w:r>
      <w:r w:rsidRPr="00637A91">
        <w:rPr>
          <w:rFonts w:ascii="Calibri" w:eastAsia="Calibri" w:hAnsi="Calibri" w:cs="Calibri"/>
          <w:sz w:val="24"/>
          <w:szCs w:val="24"/>
          <w:lang w:val="en-GB"/>
        </w:rPr>
        <w:t xml:space="preserve">Defence Directive, as well as </w:t>
      </w:r>
      <w:r w:rsidR="006F72B7">
        <w:rPr>
          <w:rFonts w:ascii="Calibri" w:eastAsia="Calibri" w:hAnsi="Calibri" w:cs="Calibri"/>
          <w:sz w:val="24"/>
          <w:szCs w:val="24"/>
          <w:lang w:val="en-GB"/>
        </w:rPr>
        <w:t xml:space="preserve">the </w:t>
      </w:r>
      <w:r w:rsidRPr="00637A91">
        <w:rPr>
          <w:rFonts w:ascii="Calibri" w:eastAsia="Calibri" w:hAnsi="Calibri" w:cs="Calibri"/>
          <w:sz w:val="24"/>
          <w:szCs w:val="24"/>
          <w:lang w:val="en-GB"/>
        </w:rPr>
        <w:t xml:space="preserve">Concessions Directive (although the concessions are outside of the remit of this analysis). </w:t>
      </w:r>
    </w:p>
    <w:p w:rsidR="00C33742" w:rsidRDefault="006779B0" w:rsidP="00DB318D">
      <w:pPr>
        <w:pStyle w:val="Heading4"/>
        <w:keepNext w:val="0"/>
        <w:keepLines w:val="0"/>
        <w:rPr>
          <w:rFonts w:eastAsia="Calibri"/>
          <w:lang w:val="en-GB"/>
        </w:rPr>
      </w:pPr>
      <w:bookmarkStart w:id="14" w:name="_Toc419719682"/>
      <w:r>
        <w:rPr>
          <w:rFonts w:eastAsia="Calibri"/>
          <w:lang w:val="en-GB"/>
        </w:rPr>
        <w:t xml:space="preserve">Option I </w:t>
      </w:r>
      <w:r w:rsidR="00DA68A4">
        <w:rPr>
          <w:rFonts w:eastAsia="Calibri"/>
          <w:lang w:val="en-GB"/>
        </w:rPr>
        <w:t>–</w:t>
      </w:r>
      <w:r>
        <w:rPr>
          <w:rFonts w:eastAsia="Calibri"/>
          <w:lang w:val="en-GB"/>
        </w:rPr>
        <w:t xml:space="preserve"> </w:t>
      </w:r>
      <w:r w:rsidR="00DA68A4">
        <w:rPr>
          <w:rFonts w:eastAsia="Calibri"/>
          <w:lang w:val="en-GB"/>
        </w:rPr>
        <w:t xml:space="preserve">Single </w:t>
      </w:r>
      <w:r w:rsidR="000F3927">
        <w:rPr>
          <w:rFonts w:eastAsia="Calibri"/>
          <w:lang w:val="en-GB"/>
        </w:rPr>
        <w:t>l</w:t>
      </w:r>
      <w:r w:rsidR="00637A91">
        <w:rPr>
          <w:rFonts w:eastAsia="Calibri"/>
          <w:lang w:val="en-GB"/>
        </w:rPr>
        <w:t xml:space="preserve">aw on </w:t>
      </w:r>
      <w:r w:rsidR="000F3927">
        <w:rPr>
          <w:rFonts w:eastAsia="Calibri"/>
          <w:lang w:val="en-GB"/>
        </w:rPr>
        <w:t>r</w:t>
      </w:r>
      <w:r>
        <w:rPr>
          <w:rFonts w:eastAsia="Calibri"/>
          <w:lang w:val="en-GB"/>
        </w:rPr>
        <w:t xml:space="preserve">eview and </w:t>
      </w:r>
      <w:r w:rsidR="000F3927">
        <w:rPr>
          <w:rFonts w:eastAsia="Calibri"/>
          <w:lang w:val="en-GB"/>
        </w:rPr>
        <w:t>r</w:t>
      </w:r>
      <w:r>
        <w:rPr>
          <w:rFonts w:eastAsia="Calibri"/>
          <w:lang w:val="en-GB"/>
        </w:rPr>
        <w:t>emedies</w:t>
      </w:r>
      <w:bookmarkEnd w:id="14"/>
    </w:p>
    <w:p w:rsidR="00C33742" w:rsidRPr="000A200D" w:rsidRDefault="00DA68A4" w:rsidP="00DB318D">
      <w:pPr>
        <w:keepNext w:val="0"/>
        <w:keepLines w:val="0"/>
        <w:spacing w:after="120" w:line="240" w:lineRule="auto"/>
        <w:jc w:val="both"/>
        <w:rPr>
          <w:rFonts w:ascii="Calibri" w:eastAsia="Calibri" w:hAnsi="Calibri" w:cs="Calibri"/>
          <w:sz w:val="24"/>
          <w:szCs w:val="20"/>
          <w:lang w:val="en-GB"/>
        </w:rPr>
      </w:pPr>
      <w:r w:rsidRPr="000A200D">
        <w:rPr>
          <w:rFonts w:ascii="Calibri" w:eastAsia="Calibri" w:hAnsi="Calibri" w:cs="Calibri"/>
          <w:sz w:val="24"/>
          <w:szCs w:val="20"/>
          <w:lang w:val="en-GB"/>
        </w:rPr>
        <w:t xml:space="preserve">Whatever the approach regarding the transposition of the other parts of public procurement </w:t>
      </w:r>
      <w:r w:rsidRPr="000A200D">
        <w:rPr>
          <w:rFonts w:ascii="Calibri" w:eastAsia="Calibri" w:hAnsi="Calibri" w:cs="Calibri"/>
          <w:i/>
          <w:sz w:val="24"/>
          <w:szCs w:val="20"/>
          <w:lang w:val="en-GB"/>
        </w:rPr>
        <w:t>acquis</w:t>
      </w:r>
      <w:r w:rsidRPr="000A200D">
        <w:rPr>
          <w:rFonts w:ascii="Calibri" w:eastAsia="Calibri" w:hAnsi="Calibri" w:cs="Calibri"/>
          <w:sz w:val="24"/>
          <w:szCs w:val="20"/>
          <w:lang w:val="en-GB"/>
        </w:rPr>
        <w:t xml:space="preserve"> (public sector, defence, utility</w:t>
      </w:r>
      <w:r w:rsidR="00271449">
        <w:rPr>
          <w:rFonts w:ascii="Calibri" w:eastAsia="Calibri" w:hAnsi="Calibri" w:cs="Calibri"/>
          <w:sz w:val="24"/>
          <w:szCs w:val="20"/>
          <w:lang w:val="en-GB"/>
        </w:rPr>
        <w:t>, concessions</w:t>
      </w:r>
      <w:r w:rsidRPr="000A200D">
        <w:rPr>
          <w:rFonts w:ascii="Calibri" w:eastAsia="Calibri" w:hAnsi="Calibri" w:cs="Calibri"/>
          <w:sz w:val="24"/>
          <w:szCs w:val="20"/>
          <w:lang w:val="en-GB"/>
        </w:rPr>
        <w:t>) may be, this option presupposes one single law dealing exclusively with review and remedies mechanisms related to all contracts</w:t>
      </w:r>
      <w:r w:rsidR="003E0DC5" w:rsidRPr="000A200D">
        <w:rPr>
          <w:rFonts w:ascii="Calibri" w:eastAsia="Calibri" w:hAnsi="Calibri" w:cs="Calibri"/>
          <w:sz w:val="24"/>
          <w:szCs w:val="20"/>
          <w:lang w:val="en-GB"/>
        </w:rPr>
        <w:t>, including concessions</w:t>
      </w:r>
      <w:r w:rsidRPr="000A200D">
        <w:rPr>
          <w:rFonts w:ascii="Calibri" w:eastAsia="Calibri" w:hAnsi="Calibri" w:cs="Calibri"/>
          <w:sz w:val="24"/>
          <w:szCs w:val="20"/>
          <w:lang w:val="en-GB"/>
        </w:rPr>
        <w:t xml:space="preserve">. </w:t>
      </w:r>
    </w:p>
    <w:p w:rsidR="00C33742" w:rsidRPr="000A200D" w:rsidRDefault="003E0DC5" w:rsidP="00DB318D">
      <w:pPr>
        <w:keepNext w:val="0"/>
        <w:keepLines w:val="0"/>
        <w:spacing w:after="120" w:line="240" w:lineRule="auto"/>
        <w:jc w:val="both"/>
        <w:rPr>
          <w:rFonts w:ascii="Calibri" w:eastAsia="Calibri" w:hAnsi="Calibri" w:cs="Calibri"/>
          <w:sz w:val="24"/>
          <w:szCs w:val="20"/>
          <w:lang w:val="en-GB"/>
        </w:rPr>
      </w:pPr>
      <w:r w:rsidRPr="000A200D">
        <w:rPr>
          <w:rFonts w:ascii="Calibri" w:eastAsia="Calibri" w:hAnsi="Calibri" w:cs="Calibri"/>
          <w:sz w:val="24"/>
          <w:szCs w:val="20"/>
          <w:lang w:val="en-GB"/>
        </w:rPr>
        <w:t>It</w:t>
      </w:r>
      <w:r w:rsidR="00C33742" w:rsidRPr="000A200D">
        <w:rPr>
          <w:rFonts w:ascii="Calibri" w:eastAsia="Calibri" w:hAnsi="Calibri" w:cs="Calibri"/>
          <w:sz w:val="24"/>
          <w:szCs w:val="20"/>
          <w:lang w:val="en-GB"/>
        </w:rPr>
        <w:t xml:space="preserve"> means that one law on</w:t>
      </w:r>
      <w:r w:rsidRPr="000A200D">
        <w:rPr>
          <w:rFonts w:ascii="Calibri" w:eastAsia="Calibri" w:hAnsi="Calibri" w:cs="Calibri"/>
          <w:sz w:val="24"/>
          <w:szCs w:val="20"/>
          <w:lang w:val="en-GB"/>
        </w:rPr>
        <w:t xml:space="preserve"> review and</w:t>
      </w:r>
      <w:r w:rsidR="00C33742" w:rsidRPr="000A200D">
        <w:rPr>
          <w:rFonts w:ascii="Calibri" w:eastAsia="Calibri" w:hAnsi="Calibri" w:cs="Calibri"/>
          <w:sz w:val="24"/>
          <w:szCs w:val="20"/>
          <w:lang w:val="en-GB"/>
        </w:rPr>
        <w:t xml:space="preserve"> remedies in public procurement</w:t>
      </w:r>
      <w:r w:rsidRPr="000A200D">
        <w:rPr>
          <w:rFonts w:ascii="Calibri" w:eastAsia="Calibri" w:hAnsi="Calibri" w:cs="Calibri"/>
          <w:sz w:val="24"/>
          <w:szCs w:val="20"/>
          <w:lang w:val="en-GB"/>
        </w:rPr>
        <w:t xml:space="preserve"> would</w:t>
      </w:r>
      <w:r w:rsidR="00C33742" w:rsidRPr="000A200D">
        <w:rPr>
          <w:rFonts w:ascii="Calibri" w:eastAsia="Calibri" w:hAnsi="Calibri" w:cs="Calibri"/>
          <w:sz w:val="24"/>
          <w:szCs w:val="20"/>
          <w:lang w:val="en-GB"/>
        </w:rPr>
        <w:t xml:space="preserve"> implement the Remedies Directive</w:t>
      </w:r>
      <w:r w:rsidRPr="000A200D">
        <w:rPr>
          <w:rFonts w:ascii="Calibri" w:eastAsia="Calibri" w:hAnsi="Calibri" w:cs="Calibri"/>
          <w:sz w:val="24"/>
          <w:szCs w:val="20"/>
          <w:lang w:val="en-GB"/>
        </w:rPr>
        <w:t xml:space="preserve">s </w:t>
      </w:r>
      <w:r w:rsidR="00C33742" w:rsidRPr="000A200D">
        <w:rPr>
          <w:rFonts w:ascii="Calibri" w:eastAsia="Calibri" w:hAnsi="Calibri" w:cs="Calibri"/>
          <w:sz w:val="24"/>
          <w:szCs w:val="20"/>
          <w:lang w:val="en-GB"/>
        </w:rPr>
        <w:t>as amended</w:t>
      </w:r>
      <w:r w:rsidRPr="000A200D">
        <w:rPr>
          <w:rFonts w:ascii="Calibri" w:eastAsia="Calibri" w:hAnsi="Calibri" w:cs="Calibri"/>
          <w:sz w:val="24"/>
          <w:szCs w:val="20"/>
          <w:lang w:val="en-GB"/>
        </w:rPr>
        <w:t>,</w:t>
      </w:r>
      <w:r w:rsidR="00C33742" w:rsidRPr="000A200D">
        <w:rPr>
          <w:rFonts w:ascii="Calibri" w:eastAsia="Calibri" w:hAnsi="Calibri" w:cs="Calibri"/>
          <w:sz w:val="24"/>
          <w:szCs w:val="20"/>
          <w:lang w:val="en-GB"/>
        </w:rPr>
        <w:t xml:space="preserve"> including the specific</w:t>
      </w:r>
      <w:r w:rsidRPr="000A200D">
        <w:rPr>
          <w:rFonts w:ascii="Calibri" w:eastAsia="Calibri" w:hAnsi="Calibri" w:cs="Calibri"/>
          <w:sz w:val="24"/>
          <w:szCs w:val="20"/>
          <w:lang w:val="en-GB"/>
        </w:rPr>
        <w:t xml:space="preserve"> </w:t>
      </w:r>
      <w:r w:rsidR="00C33742" w:rsidRPr="000A200D">
        <w:rPr>
          <w:rFonts w:ascii="Calibri" w:eastAsia="Calibri" w:hAnsi="Calibri" w:cs="Calibri"/>
          <w:sz w:val="24"/>
          <w:szCs w:val="20"/>
          <w:lang w:val="en-GB"/>
        </w:rPr>
        <w:t xml:space="preserve">defence </w:t>
      </w:r>
      <w:r w:rsidRPr="000A200D">
        <w:rPr>
          <w:rFonts w:ascii="Calibri" w:eastAsia="Calibri" w:hAnsi="Calibri" w:cs="Calibri"/>
          <w:sz w:val="24"/>
          <w:szCs w:val="20"/>
          <w:lang w:val="en-GB"/>
        </w:rPr>
        <w:t>related provisions</w:t>
      </w:r>
      <w:r w:rsidR="00271449">
        <w:rPr>
          <w:rFonts w:ascii="Calibri" w:eastAsia="Calibri" w:hAnsi="Calibri" w:cs="Calibri"/>
          <w:sz w:val="24"/>
          <w:szCs w:val="20"/>
          <w:lang w:val="en-GB"/>
        </w:rPr>
        <w:t>. T</w:t>
      </w:r>
      <w:r w:rsidRPr="000A200D">
        <w:rPr>
          <w:rFonts w:ascii="Calibri" w:eastAsia="Calibri" w:hAnsi="Calibri" w:cs="Calibri"/>
          <w:sz w:val="24"/>
          <w:szCs w:val="20"/>
          <w:lang w:val="en-GB"/>
        </w:rPr>
        <w:t>herefore a</w:t>
      </w:r>
      <w:r w:rsidR="00C33742" w:rsidRPr="000A200D">
        <w:rPr>
          <w:rFonts w:ascii="Calibri" w:eastAsia="Calibri" w:hAnsi="Calibri" w:cs="Calibri"/>
          <w:sz w:val="24"/>
          <w:szCs w:val="20"/>
          <w:lang w:val="en-GB"/>
        </w:rPr>
        <w:t xml:space="preserve">ll provisions dealing with review and remedies would be regulated in </w:t>
      </w:r>
      <w:r w:rsidRPr="000A200D">
        <w:rPr>
          <w:rFonts w:ascii="Calibri" w:eastAsia="Calibri" w:hAnsi="Calibri" w:cs="Calibri"/>
          <w:sz w:val="24"/>
          <w:szCs w:val="20"/>
          <w:lang w:val="en-GB"/>
        </w:rPr>
        <w:t>one</w:t>
      </w:r>
      <w:r w:rsidR="00C33742" w:rsidRPr="000A200D">
        <w:rPr>
          <w:rFonts w:ascii="Calibri" w:eastAsia="Calibri" w:hAnsi="Calibri" w:cs="Calibri"/>
          <w:sz w:val="24"/>
          <w:szCs w:val="20"/>
          <w:lang w:val="en-GB"/>
        </w:rPr>
        <w:t xml:space="preserve"> single law. This option is currently used in Slovenia and </w:t>
      </w:r>
      <w:r w:rsidR="000F3927" w:rsidRPr="000A200D">
        <w:rPr>
          <w:rFonts w:ascii="Calibri" w:eastAsia="Calibri" w:hAnsi="Calibri" w:cs="Calibri"/>
          <w:sz w:val="24"/>
          <w:szCs w:val="20"/>
          <w:lang w:val="en-GB"/>
        </w:rPr>
        <w:t>Luxembourg</w:t>
      </w:r>
      <w:r w:rsidR="00C33742" w:rsidRPr="000A200D">
        <w:rPr>
          <w:rFonts w:ascii="Calibri" w:eastAsia="Calibri" w:hAnsi="Calibri" w:cs="Calibri"/>
          <w:sz w:val="24"/>
          <w:szCs w:val="20"/>
          <w:lang w:val="en-GB"/>
        </w:rPr>
        <w:t>.</w:t>
      </w:r>
    </w:p>
    <w:p w:rsidR="000F3927" w:rsidRPr="000A200D" w:rsidRDefault="00C33742" w:rsidP="00DB318D">
      <w:pPr>
        <w:keepNext w:val="0"/>
        <w:keepLines w:val="0"/>
        <w:spacing w:after="120" w:line="240" w:lineRule="auto"/>
        <w:jc w:val="both"/>
        <w:rPr>
          <w:rFonts w:ascii="Calibri" w:eastAsia="Calibri" w:hAnsi="Calibri" w:cs="Calibri"/>
          <w:sz w:val="24"/>
          <w:szCs w:val="20"/>
          <w:lang w:val="en-GB"/>
        </w:rPr>
      </w:pPr>
      <w:r w:rsidRPr="000A200D">
        <w:rPr>
          <w:rFonts w:ascii="Calibri" w:eastAsia="Calibri" w:hAnsi="Calibri" w:cs="Calibri"/>
          <w:sz w:val="24"/>
          <w:szCs w:val="20"/>
          <w:lang w:val="en-GB"/>
        </w:rPr>
        <w:t xml:space="preserve">This method is </w:t>
      </w:r>
      <w:r w:rsidR="006F72B7">
        <w:rPr>
          <w:rFonts w:ascii="Calibri" w:eastAsia="Calibri" w:hAnsi="Calibri" w:cs="Calibri"/>
          <w:sz w:val="24"/>
          <w:szCs w:val="20"/>
          <w:lang w:val="en-GB"/>
        </w:rPr>
        <w:t xml:space="preserve">the </w:t>
      </w:r>
      <w:r w:rsidRPr="000A200D">
        <w:rPr>
          <w:rFonts w:ascii="Calibri" w:eastAsia="Calibri" w:hAnsi="Calibri" w:cs="Calibri"/>
          <w:sz w:val="24"/>
          <w:szCs w:val="20"/>
          <w:lang w:val="en-GB"/>
        </w:rPr>
        <w:t>least challenging from the point of view of drafting because</w:t>
      </w:r>
      <w:r w:rsidR="000F3927" w:rsidRPr="000A200D">
        <w:rPr>
          <w:rFonts w:ascii="Calibri" w:eastAsia="Calibri" w:hAnsi="Calibri" w:cs="Calibri"/>
          <w:sz w:val="24"/>
          <w:szCs w:val="20"/>
          <w:lang w:val="en-GB"/>
        </w:rPr>
        <w:t xml:space="preserve"> </w:t>
      </w:r>
      <w:r w:rsidR="00BA59F9">
        <w:rPr>
          <w:rFonts w:ascii="Calibri" w:eastAsia="Calibri" w:hAnsi="Calibri" w:cs="Calibri"/>
          <w:sz w:val="24"/>
          <w:szCs w:val="20"/>
          <w:lang w:val="en-GB"/>
        </w:rPr>
        <w:t>one</w:t>
      </w:r>
      <w:r w:rsidR="000F3927" w:rsidRPr="000A200D">
        <w:rPr>
          <w:rFonts w:ascii="Calibri" w:eastAsia="Calibri" w:hAnsi="Calibri" w:cs="Calibri"/>
          <w:sz w:val="24"/>
          <w:szCs w:val="20"/>
          <w:lang w:val="en-GB"/>
        </w:rPr>
        <w:t xml:space="preserve"> single law can easily accommodate all provisions regarding review in one place. Since many provisions in the Remedies Directives are identical, the exact repetition of many provisions in different laws is avoided. This might be positively perceived in public consultation and adoption process.</w:t>
      </w:r>
    </w:p>
    <w:p w:rsidR="000F3927" w:rsidRPr="000A200D" w:rsidRDefault="000F3927" w:rsidP="00DB318D">
      <w:pPr>
        <w:keepNext w:val="0"/>
        <w:keepLines w:val="0"/>
        <w:spacing w:after="120" w:line="240" w:lineRule="auto"/>
        <w:jc w:val="both"/>
        <w:rPr>
          <w:rFonts w:ascii="Calibri" w:eastAsia="Calibri" w:hAnsi="Calibri" w:cs="Calibri"/>
          <w:sz w:val="24"/>
          <w:szCs w:val="20"/>
          <w:lang w:val="en-GB"/>
        </w:rPr>
      </w:pPr>
      <w:r w:rsidRPr="000A200D">
        <w:rPr>
          <w:rFonts w:ascii="Calibri" w:eastAsia="Calibri" w:hAnsi="Calibri" w:cs="Calibri"/>
          <w:sz w:val="24"/>
          <w:szCs w:val="20"/>
          <w:lang w:val="en-GB"/>
        </w:rPr>
        <w:t xml:space="preserve">Positive aspects of this option may also be envisaged in implementing level by both the </w:t>
      </w:r>
      <w:r w:rsidR="00271449" w:rsidRPr="000A200D">
        <w:rPr>
          <w:rFonts w:ascii="Calibri" w:eastAsia="Calibri" w:hAnsi="Calibri" w:cs="Calibri"/>
          <w:sz w:val="24"/>
          <w:szCs w:val="20"/>
          <w:lang w:val="en-GB"/>
        </w:rPr>
        <w:t xml:space="preserve">economic operators and </w:t>
      </w:r>
      <w:r w:rsidRPr="000A200D">
        <w:rPr>
          <w:rFonts w:ascii="Calibri" w:eastAsia="Calibri" w:hAnsi="Calibri" w:cs="Calibri"/>
          <w:sz w:val="24"/>
          <w:szCs w:val="20"/>
          <w:lang w:val="en-GB"/>
        </w:rPr>
        <w:t>contracting authorities / entities. There is a clear set of rules in a single law to apply. This option may therefore be beneficial for users as they will be in clear position with regard to what rules to apply in review procedures.</w:t>
      </w:r>
      <w:r w:rsidR="00271449">
        <w:rPr>
          <w:rFonts w:ascii="Calibri" w:eastAsia="Calibri" w:hAnsi="Calibri" w:cs="Calibri"/>
          <w:sz w:val="24"/>
          <w:szCs w:val="20"/>
          <w:lang w:val="en-GB"/>
        </w:rPr>
        <w:t xml:space="preserve"> </w:t>
      </w:r>
    </w:p>
    <w:p w:rsidR="00C33742" w:rsidRPr="000A200D" w:rsidRDefault="00C33742" w:rsidP="00DB318D">
      <w:pPr>
        <w:keepNext w:val="0"/>
        <w:keepLines w:val="0"/>
        <w:spacing w:after="120" w:line="240" w:lineRule="auto"/>
        <w:jc w:val="both"/>
        <w:rPr>
          <w:rFonts w:ascii="Calibri" w:eastAsia="Calibri" w:hAnsi="Calibri" w:cs="Calibri"/>
          <w:sz w:val="24"/>
          <w:szCs w:val="20"/>
          <w:lang w:val="en-GB"/>
        </w:rPr>
      </w:pPr>
      <w:r w:rsidRPr="000A200D">
        <w:rPr>
          <w:rFonts w:ascii="Calibri" w:eastAsia="Calibri" w:hAnsi="Calibri" w:cs="Calibri"/>
          <w:sz w:val="24"/>
          <w:szCs w:val="20"/>
          <w:lang w:val="en-GB"/>
        </w:rPr>
        <w:t>This option has the disadvantages from the administrative capacity point of view because</w:t>
      </w:r>
      <w:r w:rsidR="000F3927" w:rsidRPr="000A200D">
        <w:rPr>
          <w:rFonts w:ascii="Calibri" w:eastAsia="Calibri" w:hAnsi="Calibri" w:cs="Calibri"/>
          <w:sz w:val="24"/>
          <w:szCs w:val="20"/>
          <w:lang w:val="en-GB"/>
        </w:rPr>
        <w:t xml:space="preserve"> more law requires</w:t>
      </w:r>
      <w:r w:rsidRPr="000A200D">
        <w:rPr>
          <w:rFonts w:ascii="Calibri" w:eastAsia="Calibri" w:hAnsi="Calibri" w:cs="Calibri"/>
          <w:sz w:val="24"/>
          <w:szCs w:val="20"/>
          <w:lang w:val="en-GB"/>
        </w:rPr>
        <w:t xml:space="preserve"> more procedural steps to be und</w:t>
      </w:r>
      <w:r w:rsidR="000F3927" w:rsidRPr="000A200D">
        <w:rPr>
          <w:rFonts w:ascii="Calibri" w:eastAsia="Calibri" w:hAnsi="Calibri" w:cs="Calibri"/>
          <w:sz w:val="24"/>
          <w:szCs w:val="20"/>
          <w:lang w:val="en-GB"/>
        </w:rPr>
        <w:t xml:space="preserve">ertaken for the adoption </w:t>
      </w:r>
      <w:r w:rsidRPr="000A200D">
        <w:rPr>
          <w:rFonts w:ascii="Calibri" w:eastAsia="Calibri" w:hAnsi="Calibri" w:cs="Calibri"/>
          <w:sz w:val="24"/>
          <w:szCs w:val="20"/>
          <w:lang w:val="en-GB"/>
        </w:rPr>
        <w:t xml:space="preserve">which can be demanding. </w:t>
      </w:r>
    </w:p>
    <w:p w:rsidR="00037E86" w:rsidRDefault="00DA68A4" w:rsidP="00DB318D">
      <w:pPr>
        <w:pStyle w:val="Heading4"/>
        <w:keepNext w:val="0"/>
        <w:keepLines w:val="0"/>
        <w:rPr>
          <w:rFonts w:eastAsia="Calibri"/>
          <w:lang w:val="en-GB"/>
        </w:rPr>
      </w:pPr>
      <w:bookmarkStart w:id="15" w:name="_Toc419719683"/>
      <w:r>
        <w:rPr>
          <w:rFonts w:eastAsia="Calibri"/>
          <w:lang w:val="en-GB"/>
        </w:rPr>
        <w:t xml:space="preserve">Option II - </w:t>
      </w:r>
      <w:r w:rsidR="00637A91">
        <w:rPr>
          <w:rFonts w:eastAsia="Calibri"/>
          <w:lang w:val="en-GB"/>
        </w:rPr>
        <w:t xml:space="preserve">Each law </w:t>
      </w:r>
      <w:r w:rsidR="000F3927">
        <w:rPr>
          <w:rFonts w:eastAsia="Calibri"/>
          <w:lang w:val="en-GB"/>
        </w:rPr>
        <w:t xml:space="preserve">regulating different procurement regime </w:t>
      </w:r>
      <w:r w:rsidR="00F36E55">
        <w:rPr>
          <w:rFonts w:eastAsia="Calibri"/>
          <w:lang w:val="en-GB"/>
        </w:rPr>
        <w:t>contains</w:t>
      </w:r>
      <w:r w:rsidR="00637A91">
        <w:rPr>
          <w:rFonts w:eastAsia="Calibri"/>
          <w:lang w:val="en-GB"/>
        </w:rPr>
        <w:t xml:space="preserve"> </w:t>
      </w:r>
      <w:r w:rsidR="00F36E55">
        <w:rPr>
          <w:rFonts w:eastAsia="Calibri"/>
          <w:lang w:val="en-GB"/>
        </w:rPr>
        <w:t xml:space="preserve">a </w:t>
      </w:r>
      <w:r w:rsidR="00637A91">
        <w:rPr>
          <w:rFonts w:eastAsia="Calibri"/>
          <w:lang w:val="en-GB"/>
        </w:rPr>
        <w:t xml:space="preserve">chapter </w:t>
      </w:r>
      <w:r w:rsidR="00271449">
        <w:rPr>
          <w:rFonts w:eastAsia="Calibri"/>
          <w:lang w:val="en-GB"/>
        </w:rPr>
        <w:t>related to</w:t>
      </w:r>
      <w:r w:rsidR="00637A91">
        <w:rPr>
          <w:rFonts w:eastAsia="Calibri"/>
          <w:lang w:val="en-GB"/>
        </w:rPr>
        <w:t xml:space="preserve"> </w:t>
      </w:r>
      <w:r w:rsidR="000F3927">
        <w:rPr>
          <w:rFonts w:eastAsia="Calibri"/>
          <w:lang w:val="en-GB"/>
        </w:rPr>
        <w:t xml:space="preserve">review and </w:t>
      </w:r>
      <w:r w:rsidR="00637A91">
        <w:rPr>
          <w:rFonts w:eastAsia="Calibri"/>
          <w:lang w:val="en-GB"/>
        </w:rPr>
        <w:t>remedies</w:t>
      </w:r>
      <w:bookmarkEnd w:id="15"/>
    </w:p>
    <w:p w:rsidR="00BA59F9" w:rsidRPr="00CD60B5" w:rsidRDefault="000A200D"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t>This option is based on the presumption that there are different</w:t>
      </w:r>
      <w:r w:rsidRPr="00CD60B5">
        <w:rPr>
          <w:rFonts w:ascii="Calibri" w:eastAsia="Calibri" w:hAnsi="Calibri" w:cs="Calibri"/>
          <w:sz w:val="24"/>
          <w:szCs w:val="20"/>
          <w:lang w:val="en-GB"/>
        </w:rPr>
        <w:t xml:space="preserve"> law</w:t>
      </w:r>
      <w:r>
        <w:rPr>
          <w:rFonts w:ascii="Calibri" w:eastAsia="Calibri" w:hAnsi="Calibri" w:cs="Calibri"/>
          <w:sz w:val="24"/>
          <w:szCs w:val="20"/>
          <w:lang w:val="en-GB"/>
        </w:rPr>
        <w:t>s</w:t>
      </w:r>
      <w:r w:rsidRPr="00CD60B5">
        <w:rPr>
          <w:rFonts w:ascii="Calibri" w:eastAsia="Calibri" w:hAnsi="Calibri" w:cs="Calibri"/>
          <w:sz w:val="24"/>
          <w:szCs w:val="20"/>
          <w:lang w:val="en-GB"/>
        </w:rPr>
        <w:t xml:space="preserve"> transposing the </w:t>
      </w:r>
      <w:r>
        <w:rPr>
          <w:rFonts w:ascii="Calibri" w:eastAsia="Calibri" w:hAnsi="Calibri" w:cs="Calibri"/>
          <w:sz w:val="24"/>
          <w:szCs w:val="20"/>
          <w:lang w:val="en-GB"/>
        </w:rPr>
        <w:t xml:space="preserve">Public Sector Directive, </w:t>
      </w:r>
      <w:r w:rsidR="006F72B7">
        <w:rPr>
          <w:rFonts w:ascii="Calibri" w:eastAsia="Calibri" w:hAnsi="Calibri" w:cs="Calibri"/>
          <w:sz w:val="24"/>
          <w:szCs w:val="20"/>
          <w:lang w:val="en-GB"/>
        </w:rPr>
        <w:t xml:space="preserve">the </w:t>
      </w:r>
      <w:r w:rsidRPr="00CD60B5">
        <w:rPr>
          <w:rFonts w:ascii="Calibri" w:eastAsia="Calibri" w:hAnsi="Calibri" w:cs="Calibri"/>
          <w:sz w:val="24"/>
          <w:szCs w:val="20"/>
          <w:lang w:val="en-GB"/>
        </w:rPr>
        <w:t>Utilities Directive</w:t>
      </w:r>
      <w:r>
        <w:rPr>
          <w:rFonts w:ascii="Calibri" w:eastAsia="Calibri" w:hAnsi="Calibri" w:cs="Calibri"/>
          <w:sz w:val="24"/>
          <w:szCs w:val="20"/>
          <w:lang w:val="en-GB"/>
        </w:rPr>
        <w:t xml:space="preserve"> and </w:t>
      </w:r>
      <w:r w:rsidR="006F72B7">
        <w:rPr>
          <w:rFonts w:ascii="Calibri" w:eastAsia="Calibri" w:hAnsi="Calibri" w:cs="Calibri"/>
          <w:sz w:val="24"/>
          <w:szCs w:val="20"/>
          <w:lang w:val="en-GB"/>
        </w:rPr>
        <w:t xml:space="preserve">the </w:t>
      </w:r>
      <w:r>
        <w:rPr>
          <w:rFonts w:ascii="Calibri" w:eastAsia="Calibri" w:hAnsi="Calibri" w:cs="Calibri"/>
          <w:sz w:val="24"/>
          <w:szCs w:val="20"/>
          <w:lang w:val="en-GB"/>
        </w:rPr>
        <w:t>Defence Directive</w:t>
      </w:r>
      <w:r w:rsidRPr="00CD60B5">
        <w:rPr>
          <w:rFonts w:ascii="Calibri" w:eastAsia="Calibri" w:hAnsi="Calibri" w:cs="Calibri"/>
          <w:sz w:val="24"/>
          <w:szCs w:val="20"/>
          <w:lang w:val="en-GB"/>
        </w:rPr>
        <w:t>.</w:t>
      </w:r>
      <w:r>
        <w:rPr>
          <w:rFonts w:ascii="Calibri" w:eastAsia="Calibri" w:hAnsi="Calibri" w:cs="Calibri"/>
          <w:sz w:val="24"/>
          <w:szCs w:val="20"/>
          <w:lang w:val="en-GB"/>
        </w:rPr>
        <w:t xml:space="preserve"> In such an approach the </w:t>
      </w:r>
      <w:r>
        <w:rPr>
          <w:rFonts w:ascii="Calibri" w:eastAsia="Calibri" w:hAnsi="Calibri" w:cs="Calibri"/>
          <w:sz w:val="24"/>
          <w:szCs w:val="20"/>
          <w:lang w:val="en-GB"/>
        </w:rPr>
        <w:lastRenderedPageBreak/>
        <w:t>Remedies Directives would be incorporated in a specific chapter designated for review and remedies regarding the contracts covered by each of the different laws.</w:t>
      </w:r>
      <w:r w:rsidRPr="00CD60B5">
        <w:rPr>
          <w:rFonts w:ascii="Calibri" w:eastAsia="Calibri" w:hAnsi="Calibri" w:cs="Calibri"/>
          <w:sz w:val="24"/>
          <w:szCs w:val="20"/>
          <w:lang w:val="en-GB"/>
        </w:rPr>
        <w:t xml:space="preserve"> </w:t>
      </w:r>
      <w:r w:rsidR="00BA59F9" w:rsidRPr="00CD60B5">
        <w:rPr>
          <w:rFonts w:ascii="Calibri" w:eastAsia="Calibri" w:hAnsi="Calibri" w:cs="Calibri"/>
          <w:sz w:val="24"/>
          <w:szCs w:val="20"/>
          <w:lang w:val="en-GB"/>
        </w:rPr>
        <w:t>T</w:t>
      </w:r>
      <w:r w:rsidR="00BA59F9">
        <w:rPr>
          <w:rFonts w:ascii="Calibri" w:eastAsia="Calibri" w:hAnsi="Calibri" w:cs="Calibri"/>
          <w:sz w:val="24"/>
          <w:szCs w:val="20"/>
          <w:lang w:val="en-GB"/>
        </w:rPr>
        <w:t xml:space="preserve">his option is currently used in </w:t>
      </w:r>
      <w:r w:rsidR="00BA59F9" w:rsidRPr="00CD60B5">
        <w:rPr>
          <w:rFonts w:ascii="Calibri" w:eastAsia="Calibri" w:hAnsi="Calibri" w:cs="Calibri"/>
          <w:sz w:val="24"/>
          <w:szCs w:val="20"/>
          <w:lang w:val="en-GB"/>
        </w:rPr>
        <w:t>United Kingdom.</w:t>
      </w:r>
    </w:p>
    <w:p w:rsidR="00F36E55" w:rsidRDefault="000A200D" w:rsidP="00DB318D">
      <w:pPr>
        <w:keepNext w:val="0"/>
        <w:keepLines w:val="0"/>
        <w:spacing w:after="120" w:line="240" w:lineRule="auto"/>
        <w:jc w:val="both"/>
        <w:rPr>
          <w:rFonts w:ascii="Calibri" w:eastAsia="Calibri" w:hAnsi="Calibri" w:cs="Calibri"/>
          <w:sz w:val="24"/>
          <w:szCs w:val="20"/>
          <w:lang w:val="en-GB"/>
        </w:rPr>
      </w:pPr>
      <w:r w:rsidRPr="00CD60B5">
        <w:rPr>
          <w:rFonts w:ascii="Calibri" w:eastAsia="Calibri" w:hAnsi="Calibri" w:cs="Calibri"/>
          <w:sz w:val="24"/>
          <w:szCs w:val="20"/>
          <w:lang w:val="en-GB"/>
        </w:rPr>
        <w:t xml:space="preserve">This means that </w:t>
      </w:r>
      <w:r w:rsidR="00F36E55">
        <w:rPr>
          <w:rFonts w:ascii="Calibri" w:eastAsia="Calibri" w:hAnsi="Calibri" w:cs="Calibri"/>
          <w:sz w:val="24"/>
          <w:szCs w:val="20"/>
          <w:lang w:val="en-GB"/>
        </w:rPr>
        <w:t xml:space="preserve">each of the </w:t>
      </w:r>
      <w:r w:rsidRPr="00CD60B5">
        <w:rPr>
          <w:rFonts w:ascii="Calibri" w:eastAsia="Calibri" w:hAnsi="Calibri" w:cs="Calibri"/>
          <w:sz w:val="24"/>
          <w:szCs w:val="20"/>
          <w:lang w:val="en-GB"/>
        </w:rPr>
        <w:t>law</w:t>
      </w:r>
      <w:r w:rsidR="00F36E55">
        <w:rPr>
          <w:rFonts w:ascii="Calibri" w:eastAsia="Calibri" w:hAnsi="Calibri" w:cs="Calibri"/>
          <w:sz w:val="24"/>
          <w:szCs w:val="20"/>
          <w:lang w:val="en-GB"/>
        </w:rPr>
        <w:t xml:space="preserve">s dealing with different </w:t>
      </w:r>
      <w:r w:rsidRPr="00CD60B5">
        <w:rPr>
          <w:rFonts w:ascii="Calibri" w:eastAsia="Calibri" w:hAnsi="Calibri" w:cs="Calibri"/>
          <w:sz w:val="24"/>
          <w:szCs w:val="20"/>
          <w:lang w:val="en-GB"/>
        </w:rPr>
        <w:t>procurement</w:t>
      </w:r>
      <w:r w:rsidR="00F36E55">
        <w:rPr>
          <w:rFonts w:ascii="Calibri" w:eastAsia="Calibri" w:hAnsi="Calibri" w:cs="Calibri"/>
          <w:sz w:val="24"/>
          <w:szCs w:val="20"/>
          <w:lang w:val="en-GB"/>
        </w:rPr>
        <w:t xml:space="preserve"> regime</w:t>
      </w:r>
      <w:r w:rsidRPr="00CD60B5">
        <w:rPr>
          <w:rFonts w:ascii="Calibri" w:eastAsia="Calibri" w:hAnsi="Calibri" w:cs="Calibri"/>
          <w:sz w:val="24"/>
          <w:szCs w:val="20"/>
          <w:lang w:val="en-GB"/>
        </w:rPr>
        <w:t xml:space="preserve"> implements the </w:t>
      </w:r>
      <w:r w:rsidR="00F36E55">
        <w:rPr>
          <w:rFonts w:ascii="Calibri" w:eastAsia="Calibri" w:hAnsi="Calibri" w:cs="Calibri"/>
          <w:sz w:val="24"/>
          <w:szCs w:val="20"/>
          <w:lang w:val="en-GB"/>
        </w:rPr>
        <w:t xml:space="preserve">related </w:t>
      </w:r>
      <w:r w:rsidRPr="00CD60B5">
        <w:rPr>
          <w:rFonts w:ascii="Calibri" w:eastAsia="Calibri" w:hAnsi="Calibri" w:cs="Calibri"/>
          <w:sz w:val="24"/>
          <w:szCs w:val="20"/>
          <w:lang w:val="en-GB"/>
        </w:rPr>
        <w:t xml:space="preserve">provisions of the </w:t>
      </w:r>
      <w:r w:rsidR="00F36E55">
        <w:rPr>
          <w:rFonts w:ascii="Calibri" w:eastAsia="Calibri" w:hAnsi="Calibri" w:cs="Calibri"/>
          <w:sz w:val="24"/>
          <w:szCs w:val="20"/>
          <w:lang w:val="en-GB"/>
        </w:rPr>
        <w:t>Remedies</w:t>
      </w:r>
      <w:r w:rsidRPr="00CD60B5">
        <w:rPr>
          <w:rFonts w:ascii="Calibri" w:eastAsia="Calibri" w:hAnsi="Calibri" w:cs="Calibri"/>
          <w:sz w:val="24"/>
          <w:szCs w:val="20"/>
          <w:lang w:val="en-GB"/>
        </w:rPr>
        <w:t xml:space="preserve"> Directive</w:t>
      </w:r>
      <w:r w:rsidR="00F36E55">
        <w:rPr>
          <w:rFonts w:ascii="Calibri" w:eastAsia="Calibri" w:hAnsi="Calibri" w:cs="Calibri"/>
          <w:sz w:val="24"/>
          <w:szCs w:val="20"/>
          <w:lang w:val="en-GB"/>
        </w:rPr>
        <w:t>s</w:t>
      </w:r>
      <w:r w:rsidR="00BA59F9">
        <w:rPr>
          <w:rFonts w:ascii="Calibri" w:eastAsia="Calibri" w:hAnsi="Calibri" w:cs="Calibri"/>
          <w:sz w:val="24"/>
          <w:szCs w:val="20"/>
          <w:lang w:val="en-GB"/>
        </w:rPr>
        <w:t xml:space="preserve"> in a specific chapter of the law, i.e.</w:t>
      </w:r>
      <w:r w:rsidR="00F36E55">
        <w:rPr>
          <w:rFonts w:ascii="Calibri" w:eastAsia="Calibri" w:hAnsi="Calibri" w:cs="Calibri"/>
          <w:sz w:val="24"/>
          <w:szCs w:val="20"/>
          <w:lang w:val="en-GB"/>
        </w:rPr>
        <w:t>:</w:t>
      </w:r>
    </w:p>
    <w:p w:rsidR="00F36E55" w:rsidRPr="00F36E55" w:rsidRDefault="00BA59F9" w:rsidP="00DB318D">
      <w:pPr>
        <w:pStyle w:val="ListParagraph"/>
        <w:keepNext w:val="0"/>
        <w:keepLines w:val="0"/>
        <w:numPr>
          <w:ilvl w:val="0"/>
          <w:numId w:val="9"/>
        </w:numPr>
        <w:spacing w:after="120" w:line="240" w:lineRule="auto"/>
        <w:ind w:left="714" w:hanging="357"/>
        <w:contextualSpacing w:val="0"/>
        <w:jc w:val="both"/>
        <w:rPr>
          <w:rFonts w:ascii="Calibri" w:eastAsia="Calibri" w:hAnsi="Calibri" w:cs="Calibri"/>
          <w:sz w:val="24"/>
          <w:szCs w:val="20"/>
          <w:lang w:val="en-GB"/>
        </w:rPr>
      </w:pPr>
      <w:r>
        <w:rPr>
          <w:rFonts w:ascii="Calibri" w:eastAsia="Calibri" w:hAnsi="Calibri" w:cs="Calibri"/>
          <w:sz w:val="24"/>
          <w:szCs w:val="20"/>
          <w:lang w:val="en-GB"/>
        </w:rPr>
        <w:t xml:space="preserve">Law on </w:t>
      </w:r>
      <w:r w:rsidR="00F36E55" w:rsidRPr="00F36E55">
        <w:rPr>
          <w:rFonts w:ascii="Calibri" w:eastAsia="Calibri" w:hAnsi="Calibri" w:cs="Calibri"/>
          <w:sz w:val="24"/>
          <w:szCs w:val="20"/>
          <w:lang w:val="en-GB"/>
        </w:rPr>
        <w:t>Public procurement →</w:t>
      </w:r>
      <w:r>
        <w:rPr>
          <w:rFonts w:ascii="Calibri" w:eastAsia="Calibri" w:hAnsi="Calibri" w:cs="Calibri"/>
          <w:sz w:val="24"/>
          <w:szCs w:val="20"/>
          <w:lang w:val="en-GB"/>
        </w:rPr>
        <w:t xml:space="preserve"> </w:t>
      </w:r>
      <w:r w:rsidR="00F36E55" w:rsidRPr="00F36E55">
        <w:rPr>
          <w:rFonts w:ascii="Calibri" w:eastAsia="Calibri" w:hAnsi="Calibri" w:cs="Calibri"/>
          <w:sz w:val="24"/>
          <w:szCs w:val="20"/>
          <w:lang w:val="en-GB"/>
        </w:rPr>
        <w:t xml:space="preserve">Directive 89/665/EEC as amended, </w:t>
      </w:r>
    </w:p>
    <w:p w:rsidR="00F36E55" w:rsidRPr="00F36E55" w:rsidRDefault="00BA59F9" w:rsidP="00DB318D">
      <w:pPr>
        <w:pStyle w:val="ListParagraph"/>
        <w:keepNext w:val="0"/>
        <w:keepLines w:val="0"/>
        <w:numPr>
          <w:ilvl w:val="0"/>
          <w:numId w:val="9"/>
        </w:numPr>
        <w:spacing w:after="120" w:line="240" w:lineRule="auto"/>
        <w:ind w:left="714" w:hanging="357"/>
        <w:contextualSpacing w:val="0"/>
        <w:jc w:val="both"/>
        <w:rPr>
          <w:rFonts w:ascii="Calibri" w:eastAsia="Calibri" w:hAnsi="Calibri" w:cs="Calibri"/>
          <w:sz w:val="24"/>
          <w:szCs w:val="20"/>
          <w:lang w:val="en-GB"/>
        </w:rPr>
      </w:pPr>
      <w:r>
        <w:rPr>
          <w:rFonts w:ascii="Calibri" w:eastAsia="Calibri" w:hAnsi="Calibri" w:cs="Calibri"/>
          <w:sz w:val="24"/>
          <w:szCs w:val="20"/>
          <w:lang w:val="en-GB"/>
        </w:rPr>
        <w:t xml:space="preserve">Law on </w:t>
      </w:r>
      <w:r w:rsidR="00F36E55" w:rsidRPr="00F36E55">
        <w:rPr>
          <w:rFonts w:ascii="Calibri" w:eastAsia="Calibri" w:hAnsi="Calibri" w:cs="Calibri"/>
          <w:sz w:val="24"/>
          <w:szCs w:val="20"/>
          <w:lang w:val="en-GB"/>
        </w:rPr>
        <w:t>Utilities Procurement → Directive 92/13/EEC as amended,</w:t>
      </w:r>
      <w:r w:rsidR="00F36E55" w:rsidRPr="00F36E55">
        <w:t xml:space="preserve"> </w:t>
      </w:r>
    </w:p>
    <w:p w:rsidR="00F36E55" w:rsidRPr="00F36E55" w:rsidRDefault="00BA59F9" w:rsidP="00DB318D">
      <w:pPr>
        <w:pStyle w:val="ListParagraph"/>
        <w:keepNext w:val="0"/>
        <w:keepLines w:val="0"/>
        <w:numPr>
          <w:ilvl w:val="0"/>
          <w:numId w:val="9"/>
        </w:numPr>
        <w:spacing w:after="120" w:line="240" w:lineRule="auto"/>
        <w:ind w:left="714" w:hanging="357"/>
        <w:contextualSpacing w:val="0"/>
        <w:jc w:val="both"/>
        <w:rPr>
          <w:rFonts w:ascii="Calibri" w:eastAsia="Calibri" w:hAnsi="Calibri" w:cs="Calibri"/>
          <w:sz w:val="24"/>
          <w:szCs w:val="20"/>
          <w:lang w:val="en-GB"/>
        </w:rPr>
      </w:pPr>
      <w:r>
        <w:rPr>
          <w:rFonts w:ascii="Calibri" w:eastAsia="Calibri" w:hAnsi="Calibri" w:cs="Calibri"/>
          <w:sz w:val="24"/>
          <w:szCs w:val="20"/>
          <w:lang w:val="en-GB"/>
        </w:rPr>
        <w:t xml:space="preserve">Law on </w:t>
      </w:r>
      <w:r w:rsidR="00F36E55" w:rsidRPr="00F36E55">
        <w:rPr>
          <w:rFonts w:ascii="Calibri" w:eastAsia="Calibri" w:hAnsi="Calibri" w:cs="Calibri"/>
          <w:sz w:val="24"/>
          <w:szCs w:val="20"/>
          <w:lang w:val="en-GB"/>
        </w:rPr>
        <w:t>Defence Procurement → Title IV (rules to be applied to reviews) of the Directive 2009/81/EC,</w:t>
      </w:r>
    </w:p>
    <w:p w:rsidR="00F36E55" w:rsidRPr="00F36E55" w:rsidRDefault="00BA59F9" w:rsidP="00DB318D">
      <w:pPr>
        <w:pStyle w:val="ListParagraph"/>
        <w:keepNext w:val="0"/>
        <w:keepLines w:val="0"/>
        <w:numPr>
          <w:ilvl w:val="0"/>
          <w:numId w:val="9"/>
        </w:numPr>
        <w:spacing w:after="120" w:line="240" w:lineRule="auto"/>
        <w:ind w:left="714" w:hanging="357"/>
        <w:contextualSpacing w:val="0"/>
        <w:jc w:val="both"/>
        <w:rPr>
          <w:rFonts w:ascii="Calibri" w:eastAsia="Calibri" w:hAnsi="Calibri" w:cs="Calibri"/>
          <w:sz w:val="24"/>
          <w:szCs w:val="20"/>
          <w:lang w:val="en-GB"/>
        </w:rPr>
      </w:pPr>
      <w:r>
        <w:rPr>
          <w:rFonts w:ascii="Calibri" w:eastAsia="Calibri" w:hAnsi="Calibri" w:cs="Calibri"/>
          <w:sz w:val="24"/>
          <w:szCs w:val="20"/>
          <w:lang w:val="en-GB"/>
        </w:rPr>
        <w:t xml:space="preserve">Law on </w:t>
      </w:r>
      <w:r w:rsidR="00F36E55" w:rsidRPr="00F36E55">
        <w:rPr>
          <w:rFonts w:ascii="Calibri" w:eastAsia="Calibri" w:hAnsi="Calibri" w:cs="Calibri"/>
          <w:sz w:val="24"/>
          <w:szCs w:val="20"/>
          <w:lang w:val="en-GB"/>
        </w:rPr>
        <w:t>Concessions → Directives 89/665/EEC and 92/13/EEC as amended.</w:t>
      </w:r>
    </w:p>
    <w:p w:rsidR="00E45886" w:rsidRDefault="00E45886" w:rsidP="00DB318D">
      <w:pPr>
        <w:keepNext w:val="0"/>
        <w:keepLines w:val="0"/>
        <w:spacing w:after="120" w:line="240" w:lineRule="auto"/>
        <w:jc w:val="both"/>
        <w:rPr>
          <w:rFonts w:ascii="Calibri" w:eastAsia="Calibri" w:hAnsi="Calibri" w:cs="Calibri"/>
          <w:sz w:val="24"/>
          <w:szCs w:val="20"/>
          <w:lang w:val="en-GB"/>
        </w:rPr>
      </w:pPr>
      <w:r w:rsidRPr="00E45886">
        <w:rPr>
          <w:rFonts w:ascii="Calibri" w:eastAsia="Calibri" w:hAnsi="Calibri" w:cs="Calibri"/>
          <w:sz w:val="24"/>
          <w:szCs w:val="20"/>
          <w:lang w:val="en-GB"/>
        </w:rPr>
        <w:t xml:space="preserve">This method is </w:t>
      </w:r>
      <w:r>
        <w:rPr>
          <w:rFonts w:ascii="Calibri" w:eastAsia="Calibri" w:hAnsi="Calibri" w:cs="Calibri"/>
          <w:sz w:val="24"/>
          <w:szCs w:val="20"/>
          <w:lang w:val="en-GB"/>
        </w:rPr>
        <w:t>less</w:t>
      </w:r>
      <w:r w:rsidRPr="00E45886">
        <w:rPr>
          <w:rFonts w:ascii="Calibri" w:eastAsia="Calibri" w:hAnsi="Calibri" w:cs="Calibri"/>
          <w:sz w:val="24"/>
          <w:szCs w:val="20"/>
          <w:lang w:val="en-GB"/>
        </w:rPr>
        <w:t xml:space="preserve"> challenging from the point of view of </w:t>
      </w:r>
      <w:r>
        <w:rPr>
          <w:rFonts w:ascii="Calibri" w:eastAsia="Calibri" w:hAnsi="Calibri" w:cs="Calibri"/>
          <w:sz w:val="24"/>
          <w:szCs w:val="20"/>
          <w:lang w:val="en-GB"/>
        </w:rPr>
        <w:t xml:space="preserve">proper </w:t>
      </w:r>
      <w:r w:rsidRPr="00E45886">
        <w:rPr>
          <w:rFonts w:ascii="Calibri" w:eastAsia="Calibri" w:hAnsi="Calibri" w:cs="Calibri"/>
          <w:sz w:val="24"/>
          <w:szCs w:val="20"/>
          <w:lang w:val="en-GB"/>
        </w:rPr>
        <w:t xml:space="preserve">drafting because </w:t>
      </w:r>
      <w:r>
        <w:rPr>
          <w:rFonts w:ascii="Calibri" w:eastAsia="Calibri" w:hAnsi="Calibri" w:cs="Calibri"/>
          <w:sz w:val="24"/>
          <w:szCs w:val="20"/>
          <w:lang w:val="en-GB"/>
        </w:rPr>
        <w:t>each of</w:t>
      </w:r>
      <w:r w:rsidRPr="00E45886">
        <w:rPr>
          <w:rFonts w:ascii="Calibri" w:eastAsia="Calibri" w:hAnsi="Calibri" w:cs="Calibri"/>
          <w:sz w:val="24"/>
          <w:szCs w:val="20"/>
          <w:lang w:val="en-GB"/>
        </w:rPr>
        <w:t xml:space="preserve"> </w:t>
      </w:r>
      <w:r>
        <w:rPr>
          <w:rFonts w:ascii="Calibri" w:eastAsia="Calibri" w:hAnsi="Calibri" w:cs="Calibri"/>
          <w:sz w:val="24"/>
          <w:szCs w:val="20"/>
          <w:lang w:val="en-GB"/>
        </w:rPr>
        <w:t xml:space="preserve">the different </w:t>
      </w:r>
      <w:r w:rsidRPr="00E45886">
        <w:rPr>
          <w:rFonts w:ascii="Calibri" w:eastAsia="Calibri" w:hAnsi="Calibri" w:cs="Calibri"/>
          <w:sz w:val="24"/>
          <w:szCs w:val="20"/>
          <w:lang w:val="en-GB"/>
        </w:rPr>
        <w:t xml:space="preserve">law can easily accommodate </w:t>
      </w:r>
      <w:r>
        <w:rPr>
          <w:rFonts w:ascii="Calibri" w:eastAsia="Calibri" w:hAnsi="Calibri" w:cs="Calibri"/>
          <w:sz w:val="24"/>
          <w:szCs w:val="20"/>
          <w:lang w:val="en-GB"/>
        </w:rPr>
        <w:t>related</w:t>
      </w:r>
      <w:r w:rsidRPr="00E45886">
        <w:rPr>
          <w:rFonts w:ascii="Calibri" w:eastAsia="Calibri" w:hAnsi="Calibri" w:cs="Calibri"/>
          <w:sz w:val="24"/>
          <w:szCs w:val="20"/>
          <w:lang w:val="en-GB"/>
        </w:rPr>
        <w:t xml:space="preserve"> </w:t>
      </w:r>
      <w:r>
        <w:rPr>
          <w:rFonts w:ascii="Calibri" w:eastAsia="Calibri" w:hAnsi="Calibri" w:cs="Calibri"/>
          <w:sz w:val="24"/>
          <w:szCs w:val="20"/>
          <w:lang w:val="en-GB"/>
        </w:rPr>
        <w:t xml:space="preserve">review and remedies </w:t>
      </w:r>
      <w:r w:rsidRPr="00E45886">
        <w:rPr>
          <w:rFonts w:ascii="Calibri" w:eastAsia="Calibri" w:hAnsi="Calibri" w:cs="Calibri"/>
          <w:sz w:val="24"/>
          <w:szCs w:val="20"/>
          <w:lang w:val="en-GB"/>
        </w:rPr>
        <w:t xml:space="preserve">provisions </w:t>
      </w:r>
      <w:r>
        <w:rPr>
          <w:rFonts w:ascii="Calibri" w:eastAsia="Calibri" w:hAnsi="Calibri" w:cs="Calibri"/>
          <w:sz w:val="24"/>
          <w:szCs w:val="20"/>
          <w:lang w:val="en-GB"/>
        </w:rPr>
        <w:t xml:space="preserve">with regard to </w:t>
      </w:r>
      <w:r w:rsidR="000D46C3">
        <w:rPr>
          <w:rFonts w:ascii="Calibri" w:eastAsia="Calibri" w:hAnsi="Calibri" w:cs="Calibri"/>
          <w:sz w:val="24"/>
          <w:szCs w:val="20"/>
          <w:lang w:val="en-GB"/>
        </w:rPr>
        <w:t xml:space="preserve">covered </w:t>
      </w:r>
      <w:r>
        <w:rPr>
          <w:rFonts w:ascii="Calibri" w:eastAsia="Calibri" w:hAnsi="Calibri" w:cs="Calibri"/>
          <w:sz w:val="24"/>
          <w:szCs w:val="20"/>
          <w:lang w:val="en-GB"/>
        </w:rPr>
        <w:t>contracts</w:t>
      </w:r>
      <w:r w:rsidRPr="00E45886">
        <w:rPr>
          <w:rFonts w:ascii="Calibri" w:eastAsia="Calibri" w:hAnsi="Calibri" w:cs="Calibri"/>
          <w:sz w:val="24"/>
          <w:szCs w:val="20"/>
          <w:lang w:val="en-GB"/>
        </w:rPr>
        <w:t xml:space="preserve">. </w:t>
      </w:r>
      <w:r>
        <w:rPr>
          <w:rFonts w:ascii="Calibri" w:eastAsia="Calibri" w:hAnsi="Calibri" w:cs="Calibri"/>
          <w:sz w:val="24"/>
          <w:szCs w:val="20"/>
          <w:lang w:val="en-GB"/>
        </w:rPr>
        <w:t xml:space="preserve">In this </w:t>
      </w:r>
      <w:r w:rsidR="00271449">
        <w:rPr>
          <w:rFonts w:ascii="Calibri" w:eastAsia="Calibri" w:hAnsi="Calibri" w:cs="Calibri"/>
          <w:sz w:val="24"/>
          <w:szCs w:val="20"/>
          <w:lang w:val="en-GB"/>
        </w:rPr>
        <w:t>way,</w:t>
      </w:r>
      <w:r>
        <w:rPr>
          <w:rFonts w:ascii="Calibri" w:eastAsia="Calibri" w:hAnsi="Calibri" w:cs="Calibri"/>
          <w:sz w:val="24"/>
          <w:szCs w:val="20"/>
          <w:lang w:val="en-GB"/>
        </w:rPr>
        <w:t xml:space="preserve"> a “natural” </w:t>
      </w:r>
      <w:r w:rsidR="00B965D1">
        <w:rPr>
          <w:rFonts w:ascii="Calibri" w:eastAsia="Calibri" w:hAnsi="Calibri" w:cs="Calibri"/>
          <w:sz w:val="24"/>
          <w:szCs w:val="20"/>
          <w:lang w:val="en-GB"/>
        </w:rPr>
        <w:t>cycle</w:t>
      </w:r>
      <w:r>
        <w:rPr>
          <w:rFonts w:ascii="Calibri" w:eastAsia="Calibri" w:hAnsi="Calibri" w:cs="Calibri"/>
          <w:sz w:val="24"/>
          <w:szCs w:val="20"/>
          <w:lang w:val="en-GB"/>
        </w:rPr>
        <w:t xml:space="preserve"> of each of the procurement regime is </w:t>
      </w:r>
      <w:r w:rsidR="000D46C3">
        <w:rPr>
          <w:rFonts w:ascii="Calibri" w:eastAsia="Calibri" w:hAnsi="Calibri" w:cs="Calibri"/>
          <w:sz w:val="24"/>
          <w:szCs w:val="20"/>
          <w:lang w:val="en-GB"/>
        </w:rPr>
        <w:t>presented in a comprehensive manner</w:t>
      </w:r>
      <w:r>
        <w:rPr>
          <w:rFonts w:ascii="Calibri" w:eastAsia="Calibri" w:hAnsi="Calibri" w:cs="Calibri"/>
          <w:sz w:val="24"/>
          <w:szCs w:val="20"/>
          <w:lang w:val="en-GB"/>
        </w:rPr>
        <w:t>.</w:t>
      </w:r>
    </w:p>
    <w:p w:rsidR="000D46C3" w:rsidRDefault="00E45886"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t>However, s</w:t>
      </w:r>
      <w:r w:rsidRPr="00E45886">
        <w:rPr>
          <w:rFonts w:ascii="Calibri" w:eastAsia="Calibri" w:hAnsi="Calibri" w:cs="Calibri"/>
          <w:sz w:val="24"/>
          <w:szCs w:val="20"/>
          <w:lang w:val="en-GB"/>
        </w:rPr>
        <w:t xml:space="preserve">ince many provisions in the Remedies Directives </w:t>
      </w:r>
      <w:r w:rsidR="000D46C3">
        <w:rPr>
          <w:rFonts w:ascii="Calibri" w:eastAsia="Calibri" w:hAnsi="Calibri" w:cs="Calibri"/>
          <w:sz w:val="24"/>
          <w:szCs w:val="20"/>
          <w:lang w:val="en-GB"/>
        </w:rPr>
        <w:t>and</w:t>
      </w:r>
      <w:r>
        <w:rPr>
          <w:rFonts w:ascii="Calibri" w:eastAsia="Calibri" w:hAnsi="Calibri" w:cs="Calibri"/>
          <w:sz w:val="24"/>
          <w:szCs w:val="20"/>
          <w:lang w:val="en-GB"/>
        </w:rPr>
        <w:t xml:space="preserve"> the Defence Directive </w:t>
      </w:r>
      <w:r w:rsidRPr="00E45886">
        <w:rPr>
          <w:rFonts w:ascii="Calibri" w:eastAsia="Calibri" w:hAnsi="Calibri" w:cs="Calibri"/>
          <w:sz w:val="24"/>
          <w:szCs w:val="20"/>
          <w:lang w:val="en-GB"/>
        </w:rPr>
        <w:t xml:space="preserve">are identical, the exact repetition of many provisions in different laws </w:t>
      </w:r>
      <w:r>
        <w:rPr>
          <w:rFonts w:ascii="Calibri" w:eastAsia="Calibri" w:hAnsi="Calibri" w:cs="Calibri"/>
          <w:sz w:val="24"/>
          <w:szCs w:val="20"/>
          <w:lang w:val="en-GB"/>
        </w:rPr>
        <w:t xml:space="preserve">cannot be </w:t>
      </w:r>
      <w:r w:rsidRPr="00E45886">
        <w:rPr>
          <w:rFonts w:ascii="Calibri" w:eastAsia="Calibri" w:hAnsi="Calibri" w:cs="Calibri"/>
          <w:sz w:val="24"/>
          <w:szCs w:val="20"/>
          <w:lang w:val="en-GB"/>
        </w:rPr>
        <w:t xml:space="preserve">avoided. This might be </w:t>
      </w:r>
      <w:r>
        <w:rPr>
          <w:rFonts w:ascii="Calibri" w:eastAsia="Calibri" w:hAnsi="Calibri" w:cs="Calibri"/>
          <w:sz w:val="24"/>
          <w:szCs w:val="20"/>
          <w:lang w:val="en-GB"/>
        </w:rPr>
        <w:t>negatively</w:t>
      </w:r>
      <w:r w:rsidRPr="00E45886">
        <w:rPr>
          <w:rFonts w:ascii="Calibri" w:eastAsia="Calibri" w:hAnsi="Calibri" w:cs="Calibri"/>
          <w:sz w:val="24"/>
          <w:szCs w:val="20"/>
          <w:lang w:val="en-GB"/>
        </w:rPr>
        <w:t xml:space="preserve"> perceived in public consultation and adoption process </w:t>
      </w:r>
      <w:r w:rsidRPr="00BA59F9">
        <w:rPr>
          <w:rFonts w:ascii="Calibri" w:eastAsia="Calibri" w:hAnsi="Calibri" w:cs="Calibri"/>
          <w:sz w:val="24"/>
          <w:szCs w:val="20"/>
          <w:lang w:val="en-GB"/>
        </w:rPr>
        <w:t xml:space="preserve">in the sense that the rules from </w:t>
      </w:r>
      <w:r w:rsidR="000D46C3">
        <w:rPr>
          <w:rFonts w:ascii="Calibri" w:eastAsia="Calibri" w:hAnsi="Calibri" w:cs="Calibri"/>
          <w:sz w:val="24"/>
          <w:szCs w:val="20"/>
          <w:lang w:val="en-GB"/>
        </w:rPr>
        <w:t>different</w:t>
      </w:r>
      <w:r w:rsidRPr="00BA59F9">
        <w:rPr>
          <w:rFonts w:ascii="Calibri" w:eastAsia="Calibri" w:hAnsi="Calibri" w:cs="Calibri"/>
          <w:sz w:val="24"/>
          <w:szCs w:val="20"/>
          <w:lang w:val="en-GB"/>
        </w:rPr>
        <w:t xml:space="preserve"> laws </w:t>
      </w:r>
      <w:r w:rsidR="000D46C3">
        <w:rPr>
          <w:rFonts w:ascii="Calibri" w:eastAsia="Calibri" w:hAnsi="Calibri" w:cs="Calibri"/>
          <w:sz w:val="24"/>
          <w:szCs w:val="20"/>
          <w:lang w:val="en-GB"/>
        </w:rPr>
        <w:t>may seem</w:t>
      </w:r>
      <w:r w:rsidRPr="00BA59F9">
        <w:rPr>
          <w:rFonts w:ascii="Calibri" w:eastAsia="Calibri" w:hAnsi="Calibri" w:cs="Calibri"/>
          <w:sz w:val="24"/>
          <w:szCs w:val="20"/>
          <w:lang w:val="en-GB"/>
        </w:rPr>
        <w:t xml:space="preserve"> redundant, where in reality they </w:t>
      </w:r>
      <w:r w:rsidR="00271449" w:rsidRPr="00BA59F9">
        <w:rPr>
          <w:rFonts w:ascii="Calibri" w:eastAsia="Calibri" w:hAnsi="Calibri" w:cs="Calibri"/>
          <w:sz w:val="24"/>
          <w:szCs w:val="20"/>
          <w:lang w:val="en-GB"/>
        </w:rPr>
        <w:t>are not</w:t>
      </w:r>
      <w:r w:rsidRPr="00BA59F9">
        <w:rPr>
          <w:rFonts w:ascii="Calibri" w:eastAsia="Calibri" w:hAnsi="Calibri" w:cs="Calibri"/>
          <w:sz w:val="24"/>
          <w:szCs w:val="20"/>
          <w:lang w:val="en-GB"/>
        </w:rPr>
        <w:t>.</w:t>
      </w:r>
      <w:r w:rsidRPr="00E45886">
        <w:rPr>
          <w:rFonts w:ascii="Calibri" w:eastAsia="Calibri" w:hAnsi="Calibri" w:cs="Calibri"/>
          <w:sz w:val="24"/>
          <w:szCs w:val="20"/>
          <w:lang w:val="en-GB"/>
        </w:rPr>
        <w:t xml:space="preserve"> </w:t>
      </w:r>
    </w:p>
    <w:p w:rsidR="000D46C3" w:rsidRDefault="000D46C3" w:rsidP="00DB318D">
      <w:pPr>
        <w:keepNext w:val="0"/>
        <w:keepLines w:val="0"/>
        <w:spacing w:after="120" w:line="240" w:lineRule="auto"/>
        <w:jc w:val="both"/>
        <w:rPr>
          <w:rFonts w:ascii="Calibri" w:eastAsia="Calibri" w:hAnsi="Calibri" w:cs="Calibri"/>
          <w:sz w:val="24"/>
          <w:szCs w:val="20"/>
          <w:lang w:val="en-GB"/>
        </w:rPr>
      </w:pPr>
      <w:r w:rsidRPr="00E45886">
        <w:rPr>
          <w:rFonts w:ascii="Calibri" w:eastAsia="Calibri" w:hAnsi="Calibri" w:cs="Calibri"/>
          <w:sz w:val="24"/>
          <w:szCs w:val="20"/>
          <w:lang w:val="en-GB"/>
        </w:rPr>
        <w:t xml:space="preserve">This option has the disadvantages from the administrative capacity point of view because more law requires more procedural steps to be undertaken for the adoption which can be demanding. </w:t>
      </w:r>
      <w:r w:rsidRPr="000D46C3">
        <w:rPr>
          <w:rFonts w:ascii="Calibri" w:eastAsia="Calibri" w:hAnsi="Calibri" w:cs="Calibri"/>
          <w:sz w:val="24"/>
          <w:szCs w:val="20"/>
          <w:lang w:val="en-GB"/>
        </w:rPr>
        <w:t xml:space="preserve">In case of amendments of the law there will be need to amend </w:t>
      </w:r>
      <w:r>
        <w:rPr>
          <w:rFonts w:ascii="Calibri" w:eastAsia="Calibri" w:hAnsi="Calibri" w:cs="Calibri"/>
          <w:sz w:val="24"/>
          <w:szCs w:val="20"/>
          <w:lang w:val="en-GB"/>
        </w:rPr>
        <w:t>many</w:t>
      </w:r>
      <w:r w:rsidRPr="000D46C3">
        <w:rPr>
          <w:rFonts w:ascii="Calibri" w:eastAsia="Calibri" w:hAnsi="Calibri" w:cs="Calibri"/>
          <w:sz w:val="24"/>
          <w:szCs w:val="20"/>
          <w:lang w:val="en-GB"/>
        </w:rPr>
        <w:t xml:space="preserve"> laws at the same time.</w:t>
      </w:r>
    </w:p>
    <w:p w:rsidR="00E45886" w:rsidRDefault="00E45886" w:rsidP="00DB318D">
      <w:pPr>
        <w:keepNext w:val="0"/>
        <w:keepLines w:val="0"/>
        <w:spacing w:after="120" w:line="240" w:lineRule="auto"/>
        <w:jc w:val="both"/>
        <w:rPr>
          <w:rFonts w:ascii="Calibri" w:eastAsia="Calibri" w:hAnsi="Calibri" w:cs="Calibri"/>
          <w:sz w:val="24"/>
          <w:szCs w:val="20"/>
          <w:lang w:val="en-GB"/>
        </w:rPr>
      </w:pPr>
      <w:r w:rsidRPr="00BA59F9">
        <w:rPr>
          <w:rFonts w:ascii="Calibri" w:eastAsia="Calibri" w:hAnsi="Calibri" w:cs="Calibri"/>
          <w:sz w:val="24"/>
          <w:szCs w:val="20"/>
          <w:lang w:val="en-GB"/>
        </w:rPr>
        <w:t>It also remains to be answered whether such method would be in line with legal and administrative tradition customary in Serbia.</w:t>
      </w:r>
    </w:p>
    <w:p w:rsidR="00E45886" w:rsidRPr="00E45886" w:rsidRDefault="00B965D1" w:rsidP="00DB318D">
      <w:pPr>
        <w:keepNext w:val="0"/>
        <w:keepLines w:val="0"/>
        <w:spacing w:after="120" w:line="240" w:lineRule="auto"/>
        <w:jc w:val="both"/>
        <w:rPr>
          <w:rFonts w:ascii="Calibri" w:eastAsia="Calibri" w:hAnsi="Calibri" w:cs="Calibri"/>
          <w:sz w:val="24"/>
          <w:szCs w:val="20"/>
          <w:lang w:val="en-GB"/>
        </w:rPr>
      </w:pPr>
      <w:r w:rsidRPr="00B965D1">
        <w:rPr>
          <w:rFonts w:ascii="Calibri" w:eastAsia="Calibri" w:hAnsi="Calibri" w:cs="Calibri"/>
          <w:sz w:val="24"/>
          <w:szCs w:val="20"/>
          <w:lang w:val="en-GB"/>
        </w:rPr>
        <w:t xml:space="preserve">The advantages of this option are mainly related with the user-friendliness of the </w:t>
      </w:r>
      <w:r>
        <w:rPr>
          <w:rFonts w:ascii="Calibri" w:eastAsia="Calibri" w:hAnsi="Calibri" w:cs="Calibri"/>
          <w:sz w:val="24"/>
          <w:szCs w:val="20"/>
          <w:lang w:val="en-GB"/>
        </w:rPr>
        <w:t xml:space="preserve">legislation. </w:t>
      </w:r>
      <w:r w:rsidR="00E45886" w:rsidRPr="00E45886">
        <w:rPr>
          <w:rFonts w:ascii="Calibri" w:eastAsia="Calibri" w:hAnsi="Calibri" w:cs="Calibri"/>
          <w:sz w:val="24"/>
          <w:szCs w:val="20"/>
          <w:lang w:val="en-GB"/>
        </w:rPr>
        <w:t xml:space="preserve">Positive aspects of this option may </w:t>
      </w:r>
      <w:r w:rsidR="000D46C3">
        <w:rPr>
          <w:rFonts w:ascii="Calibri" w:eastAsia="Calibri" w:hAnsi="Calibri" w:cs="Calibri"/>
          <w:sz w:val="24"/>
          <w:szCs w:val="20"/>
          <w:lang w:val="en-GB"/>
        </w:rPr>
        <w:t>therefore</w:t>
      </w:r>
      <w:r w:rsidR="00E45886" w:rsidRPr="00E45886">
        <w:rPr>
          <w:rFonts w:ascii="Calibri" w:eastAsia="Calibri" w:hAnsi="Calibri" w:cs="Calibri"/>
          <w:sz w:val="24"/>
          <w:szCs w:val="20"/>
          <w:lang w:val="en-GB"/>
        </w:rPr>
        <w:t xml:space="preserve"> be envisaged in implementing level by </w:t>
      </w:r>
      <w:r w:rsidR="00271449">
        <w:rPr>
          <w:rFonts w:ascii="Calibri" w:eastAsia="Calibri" w:hAnsi="Calibri" w:cs="Calibri"/>
          <w:sz w:val="24"/>
          <w:szCs w:val="20"/>
          <w:lang w:val="en-GB"/>
        </w:rPr>
        <w:t>users</w:t>
      </w:r>
      <w:r w:rsidR="00E45886" w:rsidRPr="00E45886">
        <w:rPr>
          <w:rFonts w:ascii="Calibri" w:eastAsia="Calibri" w:hAnsi="Calibri" w:cs="Calibri"/>
          <w:sz w:val="24"/>
          <w:szCs w:val="20"/>
          <w:lang w:val="en-GB"/>
        </w:rPr>
        <w:t>. The</w:t>
      </w:r>
      <w:r>
        <w:rPr>
          <w:rFonts w:ascii="Calibri" w:eastAsia="Calibri" w:hAnsi="Calibri" w:cs="Calibri"/>
          <w:sz w:val="24"/>
          <w:szCs w:val="20"/>
          <w:lang w:val="en-GB"/>
        </w:rPr>
        <w:t xml:space="preserve">re is a clear set of rules in each of the </w:t>
      </w:r>
      <w:r w:rsidR="00E45886" w:rsidRPr="00E45886">
        <w:rPr>
          <w:rFonts w:ascii="Calibri" w:eastAsia="Calibri" w:hAnsi="Calibri" w:cs="Calibri"/>
          <w:sz w:val="24"/>
          <w:szCs w:val="20"/>
          <w:lang w:val="en-GB"/>
        </w:rPr>
        <w:t>law</w:t>
      </w:r>
      <w:r>
        <w:rPr>
          <w:rFonts w:ascii="Calibri" w:eastAsia="Calibri" w:hAnsi="Calibri" w:cs="Calibri"/>
          <w:sz w:val="24"/>
          <w:szCs w:val="20"/>
          <w:lang w:val="en-GB"/>
        </w:rPr>
        <w:t>s which are applicable to review and remedies</w:t>
      </w:r>
      <w:r w:rsidR="00E45886" w:rsidRPr="00E45886">
        <w:rPr>
          <w:rFonts w:ascii="Calibri" w:eastAsia="Calibri" w:hAnsi="Calibri" w:cs="Calibri"/>
          <w:sz w:val="24"/>
          <w:szCs w:val="20"/>
          <w:lang w:val="en-GB"/>
        </w:rPr>
        <w:t>. This option may therefore be beneficial for users as they will be in clear position with regard to what rules to apply in review procedures</w:t>
      </w:r>
      <w:r>
        <w:rPr>
          <w:rFonts w:ascii="Calibri" w:eastAsia="Calibri" w:hAnsi="Calibri" w:cs="Calibri"/>
          <w:sz w:val="24"/>
          <w:szCs w:val="20"/>
          <w:lang w:val="en-GB"/>
        </w:rPr>
        <w:t xml:space="preserve"> regarding contracts covered by each of the law</w:t>
      </w:r>
      <w:r w:rsidR="00E45886" w:rsidRPr="00E45886">
        <w:rPr>
          <w:rFonts w:ascii="Calibri" w:eastAsia="Calibri" w:hAnsi="Calibri" w:cs="Calibri"/>
          <w:sz w:val="24"/>
          <w:szCs w:val="20"/>
          <w:lang w:val="en-GB"/>
        </w:rPr>
        <w:t>.</w:t>
      </w:r>
    </w:p>
    <w:p w:rsidR="00CD60B5" w:rsidRDefault="00DA68A4" w:rsidP="00DB318D">
      <w:pPr>
        <w:pStyle w:val="Heading4"/>
        <w:keepNext w:val="0"/>
        <w:keepLines w:val="0"/>
        <w:rPr>
          <w:rFonts w:eastAsia="Calibri"/>
          <w:lang w:val="en-GB"/>
        </w:rPr>
      </w:pPr>
      <w:bookmarkStart w:id="16" w:name="_Toc419719684"/>
      <w:r>
        <w:rPr>
          <w:rFonts w:eastAsia="Calibri"/>
          <w:lang w:val="en-GB"/>
        </w:rPr>
        <w:t xml:space="preserve">Option III </w:t>
      </w:r>
      <w:r w:rsidR="00797A50">
        <w:rPr>
          <w:rFonts w:eastAsia="Calibri"/>
          <w:lang w:val="en-GB"/>
        </w:rPr>
        <w:t>–</w:t>
      </w:r>
      <w:r>
        <w:rPr>
          <w:rFonts w:eastAsia="Calibri"/>
          <w:lang w:val="en-GB"/>
        </w:rPr>
        <w:t xml:space="preserve"> </w:t>
      </w:r>
      <w:r w:rsidR="00797A50">
        <w:rPr>
          <w:rFonts w:eastAsia="Calibri"/>
          <w:lang w:val="en-GB"/>
        </w:rPr>
        <w:t>Review and remedies procedures</w:t>
      </w:r>
      <w:r w:rsidR="00637A91">
        <w:rPr>
          <w:rFonts w:eastAsia="Calibri"/>
          <w:lang w:val="en-GB"/>
        </w:rPr>
        <w:t xml:space="preserve"> are included in </w:t>
      </w:r>
      <w:r w:rsidR="0073449E">
        <w:rPr>
          <w:rFonts w:eastAsia="Calibri"/>
          <w:lang w:val="en-GB"/>
        </w:rPr>
        <w:t xml:space="preserve">the </w:t>
      </w:r>
      <w:r w:rsidR="00797A50">
        <w:rPr>
          <w:rFonts w:eastAsia="Calibri"/>
          <w:lang w:val="en-GB"/>
        </w:rPr>
        <w:t xml:space="preserve">Public Procurement </w:t>
      </w:r>
      <w:r w:rsidR="0073449E">
        <w:rPr>
          <w:rFonts w:eastAsia="Calibri"/>
          <w:lang w:val="en-GB"/>
        </w:rPr>
        <w:t>L</w:t>
      </w:r>
      <w:r w:rsidR="00797A50">
        <w:rPr>
          <w:rFonts w:eastAsia="Calibri"/>
          <w:lang w:val="en-GB"/>
        </w:rPr>
        <w:t>aw</w:t>
      </w:r>
      <w:r w:rsidR="00637A91">
        <w:rPr>
          <w:rFonts w:eastAsia="Calibri"/>
          <w:lang w:val="en-GB"/>
        </w:rPr>
        <w:t xml:space="preserve"> </w:t>
      </w:r>
      <w:r w:rsidR="000D46C3">
        <w:rPr>
          <w:rFonts w:eastAsia="Calibri"/>
          <w:lang w:val="en-GB"/>
        </w:rPr>
        <w:t>while</w:t>
      </w:r>
      <w:r w:rsidR="00637A91">
        <w:rPr>
          <w:rFonts w:eastAsia="Calibri"/>
          <w:lang w:val="en-GB"/>
        </w:rPr>
        <w:t xml:space="preserve"> other laws refer to </w:t>
      </w:r>
      <w:r w:rsidR="00797A50">
        <w:rPr>
          <w:rFonts w:eastAsia="Calibri"/>
          <w:lang w:val="en-GB"/>
        </w:rPr>
        <w:t>those provisions</w:t>
      </w:r>
      <w:bookmarkEnd w:id="16"/>
      <w:r w:rsidR="00637A91">
        <w:rPr>
          <w:rFonts w:eastAsia="Calibri"/>
          <w:lang w:val="en-GB"/>
        </w:rPr>
        <w:t xml:space="preserve"> </w:t>
      </w:r>
    </w:p>
    <w:p w:rsidR="00797A50" w:rsidRDefault="00797A50" w:rsidP="00DB318D">
      <w:pPr>
        <w:keepNext w:val="0"/>
        <w:keepLines w:val="0"/>
        <w:spacing w:after="120" w:line="240" w:lineRule="auto"/>
        <w:jc w:val="both"/>
        <w:rPr>
          <w:rFonts w:ascii="Calibri" w:eastAsia="Calibri" w:hAnsi="Calibri" w:cs="Calibri"/>
          <w:sz w:val="24"/>
          <w:szCs w:val="20"/>
          <w:lang w:val="en-GB"/>
        </w:rPr>
      </w:pPr>
      <w:r>
        <w:rPr>
          <w:rFonts w:ascii="Calibri" w:eastAsia="Calibri" w:hAnsi="Calibri" w:cs="Calibri"/>
          <w:sz w:val="24"/>
          <w:szCs w:val="20"/>
          <w:lang w:val="en-GB"/>
        </w:rPr>
        <w:t xml:space="preserve">This option lays on the presumption that the Public Procurement Law </w:t>
      </w:r>
      <w:r w:rsidRPr="00620CAA">
        <w:rPr>
          <w:rFonts w:ascii="Calibri" w:eastAsia="Calibri" w:hAnsi="Calibri" w:cs="Calibri"/>
          <w:sz w:val="24"/>
          <w:szCs w:val="20"/>
          <w:lang w:val="en-GB"/>
        </w:rPr>
        <w:t xml:space="preserve">implements the provisions of the Public Sector Directive </w:t>
      </w:r>
      <w:r>
        <w:rPr>
          <w:rFonts w:ascii="Calibri" w:eastAsia="Calibri" w:hAnsi="Calibri" w:cs="Calibri"/>
          <w:sz w:val="24"/>
          <w:szCs w:val="20"/>
          <w:lang w:val="en-GB"/>
        </w:rPr>
        <w:t xml:space="preserve">while there are other laws dealing with </w:t>
      </w:r>
      <w:r w:rsidR="0073449E">
        <w:rPr>
          <w:rFonts w:ascii="Calibri" w:eastAsia="Calibri" w:hAnsi="Calibri" w:cs="Calibri"/>
          <w:sz w:val="24"/>
          <w:szCs w:val="20"/>
          <w:lang w:val="en-GB"/>
        </w:rPr>
        <w:t xml:space="preserve">the </w:t>
      </w:r>
      <w:r>
        <w:rPr>
          <w:rFonts w:ascii="Calibri" w:eastAsia="Calibri" w:hAnsi="Calibri" w:cs="Calibri"/>
          <w:sz w:val="24"/>
          <w:szCs w:val="20"/>
          <w:lang w:val="en-GB"/>
        </w:rPr>
        <w:t xml:space="preserve">Utilities Directive, </w:t>
      </w:r>
      <w:r w:rsidR="0073449E">
        <w:rPr>
          <w:rFonts w:ascii="Calibri" w:eastAsia="Calibri" w:hAnsi="Calibri" w:cs="Calibri"/>
          <w:sz w:val="24"/>
          <w:szCs w:val="20"/>
          <w:lang w:val="en-GB"/>
        </w:rPr>
        <w:t xml:space="preserve">the </w:t>
      </w:r>
      <w:r>
        <w:rPr>
          <w:rFonts w:ascii="Calibri" w:eastAsia="Calibri" w:hAnsi="Calibri" w:cs="Calibri"/>
          <w:sz w:val="24"/>
          <w:szCs w:val="20"/>
          <w:lang w:val="en-GB"/>
        </w:rPr>
        <w:t xml:space="preserve">Defence Directive and </w:t>
      </w:r>
      <w:r w:rsidR="0073449E">
        <w:rPr>
          <w:rFonts w:ascii="Calibri" w:eastAsia="Calibri" w:hAnsi="Calibri" w:cs="Calibri"/>
          <w:sz w:val="24"/>
          <w:szCs w:val="20"/>
          <w:lang w:val="en-GB"/>
        </w:rPr>
        <w:t xml:space="preserve">the </w:t>
      </w:r>
      <w:r>
        <w:rPr>
          <w:rFonts w:ascii="Calibri" w:eastAsia="Calibri" w:hAnsi="Calibri" w:cs="Calibri"/>
          <w:sz w:val="24"/>
          <w:szCs w:val="20"/>
          <w:lang w:val="en-GB"/>
        </w:rPr>
        <w:t xml:space="preserve">Concessions Directive. This option also works in a scenario where the Public Procurement Law transposes the Public Sector Directive and includes a </w:t>
      </w:r>
      <w:r w:rsidRPr="00620CAA">
        <w:rPr>
          <w:rFonts w:ascii="Calibri" w:eastAsia="Calibri" w:hAnsi="Calibri" w:cs="Calibri"/>
          <w:sz w:val="24"/>
          <w:szCs w:val="20"/>
          <w:lang w:val="en-GB"/>
        </w:rPr>
        <w:t>chapter</w:t>
      </w:r>
      <w:r w:rsidR="00435BE6">
        <w:rPr>
          <w:rFonts w:ascii="Calibri" w:eastAsia="Calibri" w:hAnsi="Calibri" w:cs="Calibri"/>
          <w:sz w:val="24"/>
          <w:szCs w:val="20"/>
          <w:lang w:val="en-GB"/>
        </w:rPr>
        <w:t>(s)</w:t>
      </w:r>
      <w:r w:rsidRPr="00620CAA">
        <w:rPr>
          <w:rFonts w:ascii="Calibri" w:eastAsia="Calibri" w:hAnsi="Calibri" w:cs="Calibri"/>
          <w:sz w:val="24"/>
          <w:szCs w:val="20"/>
          <w:lang w:val="en-GB"/>
        </w:rPr>
        <w:t xml:space="preserve"> </w:t>
      </w:r>
      <w:r>
        <w:rPr>
          <w:rFonts w:ascii="Calibri" w:eastAsia="Calibri" w:hAnsi="Calibri" w:cs="Calibri"/>
          <w:sz w:val="24"/>
          <w:szCs w:val="20"/>
          <w:lang w:val="en-GB"/>
        </w:rPr>
        <w:t>with</w:t>
      </w:r>
      <w:r w:rsidR="00620CAA" w:rsidRPr="00620CAA">
        <w:rPr>
          <w:rFonts w:ascii="Calibri" w:eastAsia="Calibri" w:hAnsi="Calibri" w:cs="Calibri"/>
          <w:sz w:val="24"/>
          <w:szCs w:val="20"/>
          <w:lang w:val="en-GB"/>
        </w:rPr>
        <w:t xml:space="preserve"> specific </w:t>
      </w:r>
      <w:r w:rsidRPr="00620CAA">
        <w:rPr>
          <w:rFonts w:ascii="Calibri" w:eastAsia="Calibri" w:hAnsi="Calibri" w:cs="Calibri"/>
          <w:sz w:val="24"/>
          <w:szCs w:val="20"/>
          <w:lang w:val="en-GB"/>
        </w:rPr>
        <w:t>utilities</w:t>
      </w:r>
      <w:r w:rsidR="00435BE6">
        <w:rPr>
          <w:rFonts w:ascii="Calibri" w:eastAsia="Calibri" w:hAnsi="Calibri" w:cs="Calibri"/>
          <w:sz w:val="24"/>
          <w:szCs w:val="20"/>
          <w:lang w:val="en-GB"/>
        </w:rPr>
        <w:t xml:space="preserve">, </w:t>
      </w:r>
      <w:r>
        <w:rPr>
          <w:rFonts w:ascii="Calibri" w:eastAsia="Calibri" w:hAnsi="Calibri" w:cs="Calibri"/>
          <w:sz w:val="24"/>
          <w:szCs w:val="20"/>
          <w:lang w:val="en-GB"/>
        </w:rPr>
        <w:t>defence</w:t>
      </w:r>
      <w:r w:rsidRPr="00797A50">
        <w:rPr>
          <w:rFonts w:ascii="Calibri" w:eastAsia="Calibri" w:hAnsi="Calibri" w:cs="Calibri"/>
          <w:sz w:val="24"/>
          <w:szCs w:val="20"/>
          <w:lang w:val="en-GB"/>
        </w:rPr>
        <w:t xml:space="preserve"> </w:t>
      </w:r>
      <w:r w:rsidR="00435BE6">
        <w:rPr>
          <w:rFonts w:ascii="Calibri" w:eastAsia="Calibri" w:hAnsi="Calibri" w:cs="Calibri"/>
          <w:sz w:val="24"/>
          <w:szCs w:val="20"/>
          <w:lang w:val="en-GB"/>
        </w:rPr>
        <w:t xml:space="preserve">and / or concessions </w:t>
      </w:r>
      <w:r w:rsidRPr="00620CAA">
        <w:rPr>
          <w:rFonts w:ascii="Calibri" w:eastAsia="Calibri" w:hAnsi="Calibri" w:cs="Calibri"/>
          <w:sz w:val="24"/>
          <w:szCs w:val="20"/>
          <w:lang w:val="en-GB"/>
        </w:rPr>
        <w:t>provisions</w:t>
      </w:r>
      <w:r w:rsidR="00271449">
        <w:rPr>
          <w:rFonts w:ascii="Calibri" w:eastAsia="Calibri" w:hAnsi="Calibri" w:cs="Calibri"/>
          <w:sz w:val="24"/>
          <w:szCs w:val="20"/>
          <w:lang w:val="en-GB"/>
        </w:rPr>
        <w:t xml:space="preserve"> which may be further regulated in subordinate legislation</w:t>
      </w:r>
      <w:r>
        <w:rPr>
          <w:rFonts w:ascii="Calibri" w:eastAsia="Calibri" w:hAnsi="Calibri" w:cs="Calibri"/>
          <w:sz w:val="24"/>
          <w:szCs w:val="20"/>
          <w:lang w:val="en-GB"/>
        </w:rPr>
        <w:t>.</w:t>
      </w:r>
      <w:r w:rsidR="00620CAA" w:rsidRPr="00620CAA">
        <w:rPr>
          <w:rFonts w:ascii="Calibri" w:eastAsia="Calibri" w:hAnsi="Calibri" w:cs="Calibri"/>
          <w:sz w:val="24"/>
          <w:szCs w:val="20"/>
          <w:lang w:val="en-GB"/>
        </w:rPr>
        <w:t xml:space="preserve"> </w:t>
      </w:r>
      <w:r w:rsidR="00F42E62">
        <w:rPr>
          <w:rFonts w:ascii="Calibri" w:eastAsia="Calibri" w:hAnsi="Calibri" w:cs="Calibri"/>
          <w:sz w:val="24"/>
          <w:szCs w:val="20"/>
          <w:lang w:val="en-GB"/>
        </w:rPr>
        <w:t xml:space="preserve">Therefore, there are many variations of the legal set-up, including subordinate legislation. </w:t>
      </w:r>
      <w:r w:rsidR="00435BE6">
        <w:rPr>
          <w:rFonts w:ascii="Calibri" w:eastAsia="Calibri" w:hAnsi="Calibri" w:cs="Calibri"/>
          <w:sz w:val="24"/>
          <w:szCs w:val="20"/>
          <w:lang w:val="en-GB"/>
        </w:rPr>
        <w:t>The latter option is currently used in Serbia and Croatia.</w:t>
      </w:r>
    </w:p>
    <w:p w:rsidR="00620CAA" w:rsidRPr="00620CAA" w:rsidRDefault="00620CAA" w:rsidP="00DB318D">
      <w:pPr>
        <w:keepNext w:val="0"/>
        <w:keepLines w:val="0"/>
        <w:spacing w:after="120" w:line="240" w:lineRule="auto"/>
        <w:jc w:val="both"/>
        <w:rPr>
          <w:rFonts w:ascii="Calibri" w:eastAsia="Calibri" w:hAnsi="Calibri" w:cs="Calibri"/>
          <w:sz w:val="24"/>
          <w:szCs w:val="20"/>
          <w:lang w:val="en-GB"/>
        </w:rPr>
      </w:pPr>
      <w:r w:rsidRPr="00620CAA">
        <w:rPr>
          <w:rFonts w:ascii="Calibri" w:eastAsia="Calibri" w:hAnsi="Calibri" w:cs="Calibri"/>
          <w:sz w:val="24"/>
          <w:szCs w:val="20"/>
          <w:lang w:val="en-GB"/>
        </w:rPr>
        <w:t xml:space="preserve">This </w:t>
      </w:r>
      <w:r w:rsidR="00435BE6">
        <w:rPr>
          <w:rFonts w:ascii="Calibri" w:eastAsia="Calibri" w:hAnsi="Calibri" w:cs="Calibri"/>
          <w:sz w:val="24"/>
          <w:szCs w:val="20"/>
          <w:lang w:val="en-GB"/>
        </w:rPr>
        <w:t xml:space="preserve">option </w:t>
      </w:r>
      <w:r w:rsidRPr="00620CAA">
        <w:rPr>
          <w:rFonts w:ascii="Calibri" w:eastAsia="Calibri" w:hAnsi="Calibri" w:cs="Calibri"/>
          <w:sz w:val="24"/>
          <w:szCs w:val="20"/>
          <w:lang w:val="en-GB"/>
        </w:rPr>
        <w:t xml:space="preserve">means that the </w:t>
      </w:r>
      <w:r w:rsidR="00435BE6">
        <w:rPr>
          <w:rFonts w:ascii="Calibri" w:eastAsia="Calibri" w:hAnsi="Calibri" w:cs="Calibri"/>
          <w:sz w:val="24"/>
          <w:szCs w:val="20"/>
          <w:lang w:val="en-GB"/>
        </w:rPr>
        <w:t xml:space="preserve">Public Procurement </w:t>
      </w:r>
      <w:r w:rsidR="0073449E">
        <w:rPr>
          <w:rFonts w:ascii="Calibri" w:eastAsia="Calibri" w:hAnsi="Calibri" w:cs="Calibri"/>
          <w:sz w:val="24"/>
          <w:szCs w:val="20"/>
          <w:lang w:val="en-GB"/>
        </w:rPr>
        <w:t>L</w:t>
      </w:r>
      <w:r w:rsidR="00435BE6">
        <w:rPr>
          <w:rFonts w:ascii="Calibri" w:eastAsia="Calibri" w:hAnsi="Calibri" w:cs="Calibri"/>
          <w:sz w:val="24"/>
          <w:szCs w:val="20"/>
          <w:lang w:val="en-GB"/>
        </w:rPr>
        <w:t xml:space="preserve">aw contains a chapter transposing </w:t>
      </w:r>
      <w:r w:rsidR="0073449E">
        <w:rPr>
          <w:rFonts w:ascii="Calibri" w:eastAsia="Calibri" w:hAnsi="Calibri" w:cs="Calibri"/>
          <w:sz w:val="24"/>
          <w:szCs w:val="20"/>
          <w:lang w:val="en-GB"/>
        </w:rPr>
        <w:t xml:space="preserve">the </w:t>
      </w:r>
      <w:r w:rsidR="00435BE6">
        <w:rPr>
          <w:rFonts w:ascii="Calibri" w:eastAsia="Calibri" w:hAnsi="Calibri" w:cs="Calibri"/>
          <w:sz w:val="24"/>
          <w:szCs w:val="20"/>
          <w:lang w:val="en-GB"/>
        </w:rPr>
        <w:t xml:space="preserve">Remedies Directive(s). This chapter </w:t>
      </w:r>
      <w:r w:rsidRPr="00620CAA">
        <w:rPr>
          <w:rFonts w:ascii="Calibri" w:eastAsia="Calibri" w:hAnsi="Calibri" w:cs="Calibri"/>
          <w:sz w:val="24"/>
          <w:szCs w:val="20"/>
          <w:lang w:val="en-GB"/>
        </w:rPr>
        <w:t xml:space="preserve">would apply to </w:t>
      </w:r>
      <w:r w:rsidR="00435BE6">
        <w:rPr>
          <w:rFonts w:ascii="Calibri" w:eastAsia="Calibri" w:hAnsi="Calibri" w:cs="Calibri"/>
          <w:sz w:val="24"/>
          <w:szCs w:val="20"/>
          <w:lang w:val="en-GB"/>
        </w:rPr>
        <w:t>reviews in</w:t>
      </w:r>
      <w:r w:rsidRPr="00620CAA">
        <w:rPr>
          <w:rFonts w:ascii="Calibri" w:eastAsia="Calibri" w:hAnsi="Calibri" w:cs="Calibri"/>
          <w:sz w:val="24"/>
          <w:szCs w:val="20"/>
          <w:lang w:val="en-GB"/>
        </w:rPr>
        <w:t xml:space="preserve"> </w:t>
      </w:r>
      <w:r w:rsidR="00435BE6">
        <w:rPr>
          <w:rFonts w:ascii="Calibri" w:eastAsia="Calibri" w:hAnsi="Calibri" w:cs="Calibri"/>
          <w:sz w:val="24"/>
          <w:szCs w:val="20"/>
          <w:lang w:val="en-GB"/>
        </w:rPr>
        <w:t xml:space="preserve">public, </w:t>
      </w:r>
      <w:r w:rsidRPr="00620CAA">
        <w:rPr>
          <w:rFonts w:ascii="Calibri" w:eastAsia="Calibri" w:hAnsi="Calibri" w:cs="Calibri"/>
          <w:sz w:val="24"/>
          <w:szCs w:val="20"/>
          <w:lang w:val="en-GB"/>
        </w:rPr>
        <w:t>utilities</w:t>
      </w:r>
      <w:r w:rsidR="00435BE6">
        <w:rPr>
          <w:rFonts w:ascii="Calibri" w:eastAsia="Calibri" w:hAnsi="Calibri" w:cs="Calibri"/>
          <w:sz w:val="24"/>
          <w:szCs w:val="20"/>
          <w:lang w:val="en-GB"/>
        </w:rPr>
        <w:t>, defence and concessions</w:t>
      </w:r>
      <w:r w:rsidRPr="00620CAA">
        <w:rPr>
          <w:rFonts w:ascii="Calibri" w:eastAsia="Calibri" w:hAnsi="Calibri" w:cs="Calibri"/>
          <w:sz w:val="24"/>
          <w:szCs w:val="20"/>
          <w:lang w:val="en-GB"/>
        </w:rPr>
        <w:t xml:space="preserve"> sector</w:t>
      </w:r>
      <w:r w:rsidR="00435BE6">
        <w:rPr>
          <w:rFonts w:ascii="Calibri" w:eastAsia="Calibri" w:hAnsi="Calibri" w:cs="Calibri"/>
          <w:sz w:val="24"/>
          <w:szCs w:val="20"/>
          <w:lang w:val="en-GB"/>
        </w:rPr>
        <w:t xml:space="preserve">s. If </w:t>
      </w:r>
      <w:r w:rsidR="00435BE6" w:rsidRPr="00435BE6">
        <w:rPr>
          <w:rFonts w:ascii="Calibri" w:eastAsia="Calibri" w:hAnsi="Calibri" w:cs="Calibri"/>
          <w:sz w:val="24"/>
          <w:szCs w:val="20"/>
          <w:lang w:val="en-GB"/>
        </w:rPr>
        <w:t xml:space="preserve">utilities, defence and concessions sectors </w:t>
      </w:r>
      <w:r w:rsidR="00435BE6">
        <w:rPr>
          <w:rFonts w:ascii="Calibri" w:eastAsia="Calibri" w:hAnsi="Calibri" w:cs="Calibri"/>
          <w:sz w:val="24"/>
          <w:szCs w:val="20"/>
          <w:lang w:val="en-GB"/>
        </w:rPr>
        <w:t xml:space="preserve">are transposed in different </w:t>
      </w:r>
      <w:r w:rsidR="00435BE6">
        <w:rPr>
          <w:rFonts w:ascii="Calibri" w:eastAsia="Calibri" w:hAnsi="Calibri" w:cs="Calibri"/>
          <w:sz w:val="24"/>
          <w:szCs w:val="20"/>
          <w:lang w:val="en-GB"/>
        </w:rPr>
        <w:lastRenderedPageBreak/>
        <w:t>laws</w:t>
      </w:r>
      <w:r w:rsidR="00A57183">
        <w:rPr>
          <w:rFonts w:ascii="Calibri" w:eastAsia="Calibri" w:hAnsi="Calibri" w:cs="Calibri"/>
          <w:sz w:val="24"/>
          <w:szCs w:val="20"/>
          <w:lang w:val="en-GB"/>
        </w:rPr>
        <w:t xml:space="preserve"> or regulations</w:t>
      </w:r>
      <w:r w:rsidR="00435BE6">
        <w:rPr>
          <w:rFonts w:ascii="Calibri" w:eastAsia="Calibri" w:hAnsi="Calibri" w:cs="Calibri"/>
          <w:sz w:val="24"/>
          <w:szCs w:val="20"/>
          <w:lang w:val="en-GB"/>
        </w:rPr>
        <w:t xml:space="preserve">, then those </w:t>
      </w:r>
      <w:r w:rsidR="00A57183">
        <w:rPr>
          <w:rFonts w:ascii="Calibri" w:eastAsia="Calibri" w:hAnsi="Calibri" w:cs="Calibri"/>
          <w:sz w:val="24"/>
          <w:szCs w:val="20"/>
          <w:lang w:val="en-GB"/>
        </w:rPr>
        <w:t>legal acts</w:t>
      </w:r>
      <w:r w:rsidR="00435BE6">
        <w:rPr>
          <w:rFonts w:ascii="Calibri" w:eastAsia="Calibri" w:hAnsi="Calibri" w:cs="Calibri"/>
          <w:sz w:val="24"/>
          <w:szCs w:val="20"/>
          <w:lang w:val="en-GB"/>
        </w:rPr>
        <w:t xml:space="preserve"> need to have reference to review provisions contained in </w:t>
      </w:r>
      <w:r w:rsidR="0073449E">
        <w:rPr>
          <w:rFonts w:ascii="Calibri" w:eastAsia="Calibri" w:hAnsi="Calibri" w:cs="Calibri"/>
          <w:sz w:val="24"/>
          <w:szCs w:val="20"/>
          <w:lang w:val="en-GB"/>
        </w:rPr>
        <w:t xml:space="preserve">the </w:t>
      </w:r>
      <w:r w:rsidR="00435BE6">
        <w:rPr>
          <w:rFonts w:ascii="Calibri" w:eastAsia="Calibri" w:hAnsi="Calibri" w:cs="Calibri"/>
          <w:sz w:val="24"/>
          <w:szCs w:val="20"/>
          <w:lang w:val="en-GB"/>
        </w:rPr>
        <w:t xml:space="preserve">Public Procurement Law. </w:t>
      </w:r>
      <w:r w:rsidRPr="00620CAA">
        <w:rPr>
          <w:rFonts w:ascii="Calibri" w:eastAsia="Calibri" w:hAnsi="Calibri" w:cs="Calibri"/>
          <w:sz w:val="24"/>
          <w:szCs w:val="20"/>
          <w:lang w:val="en-GB"/>
        </w:rPr>
        <w:t xml:space="preserve"> </w:t>
      </w:r>
    </w:p>
    <w:p w:rsidR="00620CAA" w:rsidRPr="00620CAA" w:rsidRDefault="00620CAA" w:rsidP="00DB318D">
      <w:pPr>
        <w:keepNext w:val="0"/>
        <w:keepLines w:val="0"/>
        <w:spacing w:after="120" w:line="240" w:lineRule="auto"/>
        <w:jc w:val="both"/>
        <w:rPr>
          <w:rFonts w:ascii="Calibri" w:eastAsia="Calibri" w:hAnsi="Calibri" w:cs="Calibri"/>
          <w:sz w:val="24"/>
          <w:szCs w:val="20"/>
          <w:lang w:val="en-GB"/>
        </w:rPr>
      </w:pPr>
      <w:r w:rsidRPr="00620CAA">
        <w:rPr>
          <w:rFonts w:ascii="Calibri" w:eastAsia="Calibri" w:hAnsi="Calibri" w:cs="Calibri"/>
          <w:sz w:val="24"/>
          <w:szCs w:val="20"/>
          <w:lang w:val="en-GB"/>
        </w:rPr>
        <w:t xml:space="preserve">This method is challenging from the point of view of proper drafting because it inevitably requires a precise cross-referencing between the </w:t>
      </w:r>
      <w:r w:rsidR="00F42E62">
        <w:rPr>
          <w:rFonts w:ascii="Calibri" w:eastAsia="Calibri" w:hAnsi="Calibri" w:cs="Calibri"/>
          <w:sz w:val="24"/>
          <w:szCs w:val="20"/>
          <w:lang w:val="en-GB"/>
        </w:rPr>
        <w:t xml:space="preserve">laws or chapters regulating different procurement regimes and </w:t>
      </w:r>
      <w:r w:rsidR="0073449E">
        <w:rPr>
          <w:rFonts w:ascii="Calibri" w:eastAsia="Calibri" w:hAnsi="Calibri" w:cs="Calibri"/>
          <w:sz w:val="24"/>
          <w:szCs w:val="20"/>
          <w:lang w:val="en-GB"/>
        </w:rPr>
        <w:t xml:space="preserve">the </w:t>
      </w:r>
      <w:r w:rsidR="00F42E62">
        <w:rPr>
          <w:rFonts w:ascii="Calibri" w:eastAsia="Calibri" w:hAnsi="Calibri" w:cs="Calibri"/>
          <w:sz w:val="24"/>
          <w:szCs w:val="20"/>
          <w:lang w:val="en-GB"/>
        </w:rPr>
        <w:t>Public Procurement Law</w:t>
      </w:r>
      <w:r w:rsidRPr="00620CAA">
        <w:rPr>
          <w:rFonts w:ascii="Calibri" w:eastAsia="Calibri" w:hAnsi="Calibri" w:cs="Calibri"/>
          <w:sz w:val="24"/>
          <w:szCs w:val="20"/>
          <w:lang w:val="en-GB"/>
        </w:rPr>
        <w:t xml:space="preserve">. It also requires a careful consideration with regard to certain provisions </w:t>
      </w:r>
      <w:r w:rsidR="00F42E62">
        <w:rPr>
          <w:rFonts w:ascii="Calibri" w:eastAsia="Calibri" w:hAnsi="Calibri" w:cs="Calibri"/>
          <w:sz w:val="24"/>
          <w:szCs w:val="20"/>
          <w:lang w:val="en-GB"/>
        </w:rPr>
        <w:t xml:space="preserve">in </w:t>
      </w:r>
      <w:r w:rsidR="0073449E">
        <w:rPr>
          <w:rFonts w:ascii="Calibri" w:eastAsia="Calibri" w:hAnsi="Calibri" w:cs="Calibri"/>
          <w:sz w:val="24"/>
          <w:szCs w:val="20"/>
          <w:lang w:val="en-GB"/>
        </w:rPr>
        <w:t xml:space="preserve">the </w:t>
      </w:r>
      <w:r w:rsidR="00F42E62">
        <w:rPr>
          <w:rFonts w:ascii="Calibri" w:eastAsia="Calibri" w:hAnsi="Calibri" w:cs="Calibri"/>
          <w:sz w:val="24"/>
          <w:szCs w:val="20"/>
          <w:lang w:val="en-GB"/>
        </w:rPr>
        <w:t>Remedies Directives which differ depending on the procurement regime.</w:t>
      </w:r>
      <w:r w:rsidRPr="00620CAA">
        <w:rPr>
          <w:rFonts w:ascii="Calibri" w:eastAsia="Calibri" w:hAnsi="Calibri" w:cs="Calibri"/>
          <w:sz w:val="24"/>
          <w:szCs w:val="20"/>
          <w:lang w:val="en-GB"/>
        </w:rPr>
        <w:t xml:space="preserve"> </w:t>
      </w:r>
      <w:r w:rsidR="00F42E62">
        <w:rPr>
          <w:rFonts w:ascii="Calibri" w:eastAsia="Calibri" w:hAnsi="Calibri" w:cs="Calibri"/>
          <w:sz w:val="24"/>
          <w:szCs w:val="20"/>
          <w:lang w:val="en-GB"/>
        </w:rPr>
        <w:t>T</w:t>
      </w:r>
      <w:r w:rsidR="00435BE6">
        <w:rPr>
          <w:rFonts w:ascii="Calibri" w:eastAsia="Calibri" w:hAnsi="Calibri" w:cs="Calibri"/>
          <w:sz w:val="24"/>
          <w:szCs w:val="20"/>
          <w:lang w:val="en-GB"/>
        </w:rPr>
        <w:t xml:space="preserve">he majority of provisions in </w:t>
      </w:r>
      <w:r w:rsidR="0073449E">
        <w:rPr>
          <w:rFonts w:ascii="Calibri" w:eastAsia="Calibri" w:hAnsi="Calibri" w:cs="Calibri"/>
          <w:sz w:val="24"/>
          <w:szCs w:val="20"/>
          <w:lang w:val="en-GB"/>
        </w:rPr>
        <w:t xml:space="preserve">the </w:t>
      </w:r>
      <w:r w:rsidR="00435BE6">
        <w:rPr>
          <w:rFonts w:ascii="Calibri" w:eastAsia="Calibri" w:hAnsi="Calibri" w:cs="Calibri"/>
          <w:sz w:val="24"/>
          <w:szCs w:val="20"/>
          <w:lang w:val="en-GB"/>
        </w:rPr>
        <w:t xml:space="preserve">Remedies Directives </w:t>
      </w:r>
      <w:r w:rsidR="00F42E62">
        <w:rPr>
          <w:rFonts w:ascii="Calibri" w:eastAsia="Calibri" w:hAnsi="Calibri" w:cs="Calibri"/>
          <w:sz w:val="24"/>
          <w:szCs w:val="20"/>
          <w:lang w:val="en-GB"/>
        </w:rPr>
        <w:t xml:space="preserve">and </w:t>
      </w:r>
      <w:r w:rsidR="0073449E">
        <w:rPr>
          <w:rFonts w:ascii="Calibri" w:eastAsia="Calibri" w:hAnsi="Calibri" w:cs="Calibri"/>
          <w:sz w:val="24"/>
          <w:szCs w:val="20"/>
          <w:lang w:val="en-GB"/>
        </w:rPr>
        <w:t xml:space="preserve">the </w:t>
      </w:r>
      <w:r w:rsidR="00F42E62">
        <w:rPr>
          <w:rFonts w:ascii="Calibri" w:eastAsia="Calibri" w:hAnsi="Calibri" w:cs="Calibri"/>
          <w:sz w:val="24"/>
          <w:szCs w:val="20"/>
          <w:lang w:val="en-GB"/>
        </w:rPr>
        <w:t xml:space="preserve">Defence Directive (Title IV) </w:t>
      </w:r>
      <w:r w:rsidR="00435BE6">
        <w:rPr>
          <w:rFonts w:ascii="Calibri" w:eastAsia="Calibri" w:hAnsi="Calibri" w:cs="Calibri"/>
          <w:sz w:val="24"/>
          <w:szCs w:val="20"/>
          <w:lang w:val="en-GB"/>
        </w:rPr>
        <w:t>are</w:t>
      </w:r>
      <w:r w:rsidRPr="00620CAA">
        <w:rPr>
          <w:rFonts w:ascii="Calibri" w:eastAsia="Calibri" w:hAnsi="Calibri" w:cs="Calibri"/>
          <w:sz w:val="24"/>
          <w:szCs w:val="20"/>
          <w:lang w:val="en-GB"/>
        </w:rPr>
        <w:t xml:space="preserve"> identical but some are specific only for utilities</w:t>
      </w:r>
      <w:r w:rsidR="00435BE6">
        <w:rPr>
          <w:rFonts w:ascii="Calibri" w:eastAsia="Calibri" w:hAnsi="Calibri" w:cs="Calibri"/>
          <w:sz w:val="24"/>
          <w:szCs w:val="20"/>
          <w:lang w:val="en-GB"/>
        </w:rPr>
        <w:t>, defence and concessions</w:t>
      </w:r>
      <w:r w:rsidRPr="00620CAA">
        <w:rPr>
          <w:rFonts w:ascii="Calibri" w:eastAsia="Calibri" w:hAnsi="Calibri" w:cs="Calibri"/>
          <w:sz w:val="24"/>
          <w:szCs w:val="20"/>
          <w:lang w:val="en-GB"/>
        </w:rPr>
        <w:t xml:space="preserve">. </w:t>
      </w:r>
    </w:p>
    <w:p w:rsidR="00620CAA" w:rsidRPr="00620CAA" w:rsidRDefault="00620CAA" w:rsidP="00DB318D">
      <w:pPr>
        <w:keepNext w:val="0"/>
        <w:keepLines w:val="0"/>
        <w:spacing w:after="120" w:line="240" w:lineRule="auto"/>
        <w:jc w:val="both"/>
        <w:rPr>
          <w:rFonts w:ascii="Calibri" w:eastAsia="Calibri" w:hAnsi="Calibri" w:cs="Calibri"/>
          <w:sz w:val="24"/>
          <w:szCs w:val="20"/>
          <w:lang w:val="en-GB"/>
        </w:rPr>
      </w:pPr>
      <w:r w:rsidRPr="00620CAA">
        <w:rPr>
          <w:rFonts w:ascii="Calibri" w:eastAsia="Calibri" w:hAnsi="Calibri" w:cs="Calibri"/>
          <w:sz w:val="24"/>
          <w:szCs w:val="20"/>
          <w:lang w:val="en-GB"/>
        </w:rPr>
        <w:t xml:space="preserve">This option has the advantages from an administrative capacity point of view because it requires only one </w:t>
      </w:r>
      <w:r w:rsidR="00A57183" w:rsidRPr="00620CAA">
        <w:rPr>
          <w:rFonts w:ascii="Calibri" w:eastAsia="Calibri" w:hAnsi="Calibri" w:cs="Calibri"/>
          <w:sz w:val="24"/>
          <w:szCs w:val="20"/>
          <w:lang w:val="en-GB"/>
        </w:rPr>
        <w:t>drafting</w:t>
      </w:r>
      <w:r w:rsidR="00A57183">
        <w:rPr>
          <w:rFonts w:ascii="Calibri" w:eastAsia="Calibri" w:hAnsi="Calibri" w:cs="Calibri"/>
          <w:sz w:val="24"/>
          <w:szCs w:val="20"/>
          <w:lang w:val="en-GB"/>
        </w:rPr>
        <w:t>,</w:t>
      </w:r>
      <w:r w:rsidR="00A57183" w:rsidRPr="00620CAA">
        <w:rPr>
          <w:rFonts w:ascii="Calibri" w:eastAsia="Calibri" w:hAnsi="Calibri" w:cs="Calibri"/>
          <w:sz w:val="24"/>
          <w:szCs w:val="20"/>
          <w:lang w:val="en-GB"/>
        </w:rPr>
        <w:t xml:space="preserve"> </w:t>
      </w:r>
      <w:r w:rsidRPr="00620CAA">
        <w:rPr>
          <w:rFonts w:ascii="Calibri" w:eastAsia="Calibri" w:hAnsi="Calibri" w:cs="Calibri"/>
          <w:sz w:val="24"/>
          <w:szCs w:val="20"/>
          <w:lang w:val="en-GB"/>
        </w:rPr>
        <w:t xml:space="preserve">public consultation and adoption procedure. Therefore, there are less procedural steps to be undertaken for the adoption of </w:t>
      </w:r>
      <w:r w:rsidR="00F42E62">
        <w:rPr>
          <w:rFonts w:ascii="Calibri" w:eastAsia="Calibri" w:hAnsi="Calibri" w:cs="Calibri"/>
          <w:sz w:val="24"/>
          <w:szCs w:val="20"/>
          <w:lang w:val="en-GB"/>
        </w:rPr>
        <w:t>such</w:t>
      </w:r>
      <w:r w:rsidRPr="00620CAA">
        <w:rPr>
          <w:rFonts w:ascii="Calibri" w:eastAsia="Calibri" w:hAnsi="Calibri" w:cs="Calibri"/>
          <w:sz w:val="24"/>
          <w:szCs w:val="20"/>
          <w:lang w:val="en-GB"/>
        </w:rPr>
        <w:t xml:space="preserve"> law. In case of amendments of the law, if required, it is easier to amend one law in one procedure as opposed to </w:t>
      </w:r>
      <w:r w:rsidR="00435BE6">
        <w:rPr>
          <w:rFonts w:ascii="Calibri" w:eastAsia="Calibri" w:hAnsi="Calibri" w:cs="Calibri"/>
          <w:sz w:val="24"/>
          <w:szCs w:val="20"/>
          <w:lang w:val="en-GB"/>
        </w:rPr>
        <w:t xml:space="preserve">more </w:t>
      </w:r>
      <w:r w:rsidR="00F42E62">
        <w:rPr>
          <w:rFonts w:ascii="Calibri" w:eastAsia="Calibri" w:hAnsi="Calibri" w:cs="Calibri"/>
          <w:sz w:val="24"/>
          <w:szCs w:val="20"/>
          <w:lang w:val="en-GB"/>
        </w:rPr>
        <w:t>as compared to O</w:t>
      </w:r>
      <w:r w:rsidR="00435BE6">
        <w:rPr>
          <w:rFonts w:ascii="Calibri" w:eastAsia="Calibri" w:hAnsi="Calibri" w:cs="Calibri"/>
          <w:sz w:val="24"/>
          <w:szCs w:val="20"/>
          <w:lang w:val="en-GB"/>
        </w:rPr>
        <w:t>ption II</w:t>
      </w:r>
      <w:r w:rsidRPr="00620CAA">
        <w:rPr>
          <w:rFonts w:ascii="Calibri" w:eastAsia="Calibri" w:hAnsi="Calibri" w:cs="Calibri"/>
          <w:sz w:val="24"/>
          <w:szCs w:val="20"/>
          <w:lang w:val="en-GB"/>
        </w:rPr>
        <w:t xml:space="preserve">. </w:t>
      </w:r>
    </w:p>
    <w:p w:rsidR="00620CAA" w:rsidRPr="00620CAA" w:rsidRDefault="00620CAA" w:rsidP="00DB318D">
      <w:pPr>
        <w:keepNext w:val="0"/>
        <w:keepLines w:val="0"/>
        <w:spacing w:after="120" w:line="240" w:lineRule="auto"/>
        <w:jc w:val="both"/>
        <w:rPr>
          <w:rFonts w:ascii="Calibri" w:eastAsia="Calibri" w:hAnsi="Calibri" w:cs="Calibri"/>
          <w:sz w:val="24"/>
          <w:szCs w:val="20"/>
          <w:lang w:val="en-GB"/>
        </w:rPr>
      </w:pPr>
      <w:r w:rsidRPr="00620CAA">
        <w:rPr>
          <w:rFonts w:ascii="Calibri" w:eastAsia="Calibri" w:hAnsi="Calibri" w:cs="Calibri"/>
          <w:sz w:val="24"/>
          <w:szCs w:val="20"/>
          <w:lang w:val="en-GB"/>
        </w:rPr>
        <w:t xml:space="preserve">Negative aspects in this scenario may occur in implementing the law by </w:t>
      </w:r>
      <w:r w:rsidR="00F42E62">
        <w:rPr>
          <w:rFonts w:ascii="Calibri" w:eastAsia="Calibri" w:hAnsi="Calibri" w:cs="Calibri"/>
          <w:sz w:val="24"/>
          <w:szCs w:val="20"/>
          <w:lang w:val="en-GB"/>
        </w:rPr>
        <w:t>users</w:t>
      </w:r>
      <w:r w:rsidRPr="00620CAA">
        <w:rPr>
          <w:rFonts w:ascii="Calibri" w:eastAsia="Calibri" w:hAnsi="Calibri" w:cs="Calibri"/>
          <w:sz w:val="24"/>
          <w:szCs w:val="20"/>
          <w:lang w:val="en-GB"/>
        </w:rPr>
        <w:t xml:space="preserve">. </w:t>
      </w:r>
      <w:r w:rsidR="00153F5E">
        <w:rPr>
          <w:rFonts w:ascii="Calibri" w:eastAsia="Calibri" w:hAnsi="Calibri" w:cs="Calibri"/>
          <w:sz w:val="24"/>
          <w:szCs w:val="20"/>
          <w:lang w:val="en-GB"/>
        </w:rPr>
        <w:t>If review procedure is regulated in detailed manner in</w:t>
      </w:r>
      <w:r w:rsidR="00E13556">
        <w:rPr>
          <w:rFonts w:ascii="Calibri" w:eastAsia="Calibri" w:hAnsi="Calibri" w:cs="Calibri"/>
          <w:sz w:val="24"/>
          <w:szCs w:val="20"/>
          <w:lang w:val="en-GB"/>
        </w:rPr>
        <w:t xml:space="preserve"> the</w:t>
      </w:r>
      <w:r w:rsidR="00153F5E">
        <w:rPr>
          <w:rFonts w:ascii="Calibri" w:eastAsia="Calibri" w:hAnsi="Calibri" w:cs="Calibri"/>
          <w:sz w:val="24"/>
          <w:szCs w:val="20"/>
          <w:lang w:val="en-GB"/>
        </w:rPr>
        <w:t xml:space="preserve"> Public Procurement Law it may occur that some of the detailed procedures are not at the same time adequate for utilities, defence and concession contracts. This much depends on how specific utilities, defence and concessions issues are regulated in designated laws or chapters. Therefore, this needs to be taken into consideration while drafting a chapter on review and remedies. </w:t>
      </w:r>
    </w:p>
    <w:p w:rsidR="00395B69" w:rsidRPr="00A57183" w:rsidRDefault="003D2F1D" w:rsidP="00DB318D">
      <w:pPr>
        <w:pStyle w:val="Heading1"/>
        <w:keepNext w:val="0"/>
        <w:keepLines w:val="0"/>
        <w:rPr>
          <w:rFonts w:eastAsia="MS Mincho" w:hint="eastAsia"/>
          <w:lang w:val="en-GB"/>
        </w:rPr>
      </w:pPr>
      <w:bookmarkStart w:id="17" w:name="_Toc419719685"/>
      <w:r>
        <w:rPr>
          <w:rFonts w:eastAsia="MS Mincho"/>
          <w:lang w:val="en-GB"/>
        </w:rPr>
        <w:t>4</w:t>
      </w:r>
      <w:r w:rsidR="00E46BAA" w:rsidRPr="0025640E">
        <w:rPr>
          <w:rFonts w:eastAsia="MS Mincho"/>
          <w:lang w:val="en-GB"/>
        </w:rPr>
        <w:t xml:space="preserve">. </w:t>
      </w:r>
      <w:r w:rsidR="00A57183" w:rsidRPr="0025640E">
        <w:rPr>
          <w:rFonts w:eastAsia="MS Mincho"/>
          <w:lang w:val="en-GB"/>
        </w:rPr>
        <w:t>Conclusion</w:t>
      </w:r>
      <w:bookmarkEnd w:id="17"/>
    </w:p>
    <w:p w:rsidR="0016226F" w:rsidRDefault="00B55A4E" w:rsidP="00DB318D">
      <w:pPr>
        <w:keepNext w:val="0"/>
        <w:keepLines w:val="0"/>
        <w:spacing w:after="120" w:line="240" w:lineRule="auto"/>
        <w:ind w:right="113"/>
        <w:jc w:val="both"/>
        <w:rPr>
          <w:rFonts w:ascii="Calibri" w:eastAsia="MS Mincho" w:hAnsi="Calibri" w:cs="Calibri"/>
          <w:sz w:val="24"/>
          <w:lang w:val="en-GB"/>
        </w:rPr>
      </w:pPr>
      <w:r>
        <w:rPr>
          <w:rFonts w:ascii="Calibri" w:eastAsia="MS Mincho" w:hAnsi="Calibri" w:cs="Calibri"/>
          <w:sz w:val="24"/>
          <w:lang w:val="en-GB"/>
        </w:rPr>
        <w:t xml:space="preserve">Above provided analysis shows that national authorities </w:t>
      </w:r>
      <w:r w:rsidR="00DF242B">
        <w:rPr>
          <w:rFonts w:ascii="Calibri" w:eastAsia="MS Mincho" w:hAnsi="Calibri" w:cs="Calibri"/>
          <w:sz w:val="24"/>
          <w:lang w:val="en-GB"/>
        </w:rPr>
        <w:t xml:space="preserve">when deciding on the best </w:t>
      </w:r>
      <w:r w:rsidR="00623BE0">
        <w:rPr>
          <w:rFonts w:ascii="Calibri" w:eastAsia="MS Mincho" w:hAnsi="Calibri" w:cs="Calibri"/>
          <w:sz w:val="24"/>
          <w:lang w:val="en-GB"/>
        </w:rPr>
        <w:t>approach</w:t>
      </w:r>
      <w:r w:rsidR="00DF242B">
        <w:rPr>
          <w:rFonts w:ascii="Calibri" w:eastAsia="MS Mincho" w:hAnsi="Calibri" w:cs="Calibri"/>
          <w:sz w:val="24"/>
          <w:lang w:val="en-GB"/>
        </w:rPr>
        <w:t xml:space="preserve"> for transposition of </w:t>
      </w:r>
      <w:r w:rsidR="00CA7D10">
        <w:rPr>
          <w:rFonts w:ascii="Calibri" w:eastAsia="MS Mincho" w:hAnsi="Calibri" w:cs="Calibri"/>
          <w:sz w:val="24"/>
          <w:lang w:val="en-GB"/>
        </w:rPr>
        <w:t>public procurement directives into national legislation</w:t>
      </w:r>
      <w:r w:rsidR="00661B3A">
        <w:rPr>
          <w:rFonts w:ascii="Calibri" w:eastAsia="MS Mincho" w:hAnsi="Calibri" w:cs="Calibri"/>
          <w:sz w:val="24"/>
          <w:lang w:val="en-GB"/>
        </w:rPr>
        <w:t>,</w:t>
      </w:r>
      <w:r w:rsidR="00CA7D10">
        <w:rPr>
          <w:rFonts w:ascii="Calibri" w:eastAsia="MS Mincho" w:hAnsi="Calibri" w:cs="Calibri"/>
          <w:sz w:val="24"/>
          <w:lang w:val="en-GB"/>
        </w:rPr>
        <w:t xml:space="preserve"> have to take into account a few factors.</w:t>
      </w:r>
      <w:r w:rsidR="00661B3A">
        <w:rPr>
          <w:rFonts w:ascii="Calibri" w:eastAsia="MS Mincho" w:hAnsi="Calibri" w:cs="Calibri"/>
          <w:sz w:val="24"/>
          <w:lang w:val="en-GB"/>
        </w:rPr>
        <w:t xml:space="preserve"> </w:t>
      </w:r>
      <w:r w:rsidR="00FB0B9B">
        <w:rPr>
          <w:rFonts w:ascii="Calibri" w:eastAsia="MS Mincho" w:hAnsi="Calibri" w:cs="Calibri"/>
          <w:sz w:val="24"/>
          <w:lang w:val="en-GB"/>
        </w:rPr>
        <w:t>One</w:t>
      </w:r>
      <w:r w:rsidR="003A399E">
        <w:rPr>
          <w:rFonts w:ascii="Calibri" w:eastAsia="MS Mincho" w:hAnsi="Calibri" w:cs="Calibri"/>
          <w:sz w:val="24"/>
          <w:lang w:val="en-GB"/>
        </w:rPr>
        <w:t xml:space="preserve"> factor is </w:t>
      </w:r>
      <w:r w:rsidR="0016226F">
        <w:rPr>
          <w:rFonts w:ascii="Calibri" w:eastAsia="MS Mincho" w:hAnsi="Calibri" w:cs="Calibri"/>
          <w:sz w:val="24"/>
          <w:lang w:val="en-GB"/>
        </w:rPr>
        <w:t xml:space="preserve">national </w:t>
      </w:r>
      <w:r w:rsidR="00F26F33">
        <w:rPr>
          <w:rFonts w:ascii="Calibri" w:eastAsia="MS Mincho" w:hAnsi="Calibri" w:cs="Calibri"/>
          <w:sz w:val="24"/>
          <w:lang w:val="en-GB"/>
        </w:rPr>
        <w:t xml:space="preserve">administrative and </w:t>
      </w:r>
      <w:r w:rsidR="0016226F">
        <w:rPr>
          <w:rFonts w:ascii="Calibri" w:eastAsia="MS Mincho" w:hAnsi="Calibri" w:cs="Calibri"/>
          <w:sz w:val="24"/>
          <w:lang w:val="en-GB"/>
        </w:rPr>
        <w:t>legislative tradition</w:t>
      </w:r>
      <w:r w:rsidR="00E91F3A">
        <w:rPr>
          <w:rFonts w:ascii="Calibri" w:eastAsia="MS Mincho" w:hAnsi="Calibri" w:cs="Calibri"/>
          <w:sz w:val="24"/>
          <w:lang w:val="en-GB"/>
        </w:rPr>
        <w:t xml:space="preserve"> </w:t>
      </w:r>
      <w:r w:rsidR="00F26F33">
        <w:rPr>
          <w:rFonts w:ascii="Calibri" w:eastAsia="MS Mincho" w:hAnsi="Calibri" w:cs="Calibri"/>
          <w:sz w:val="24"/>
          <w:lang w:val="en-GB"/>
        </w:rPr>
        <w:t xml:space="preserve">in order to ensure that </w:t>
      </w:r>
      <w:r w:rsidR="00620BCB">
        <w:rPr>
          <w:rFonts w:ascii="Calibri" w:eastAsia="MS Mincho" w:hAnsi="Calibri" w:cs="Calibri"/>
          <w:sz w:val="24"/>
          <w:lang w:val="en-GB"/>
        </w:rPr>
        <w:t xml:space="preserve">adopted law(s) and subordinate legislation </w:t>
      </w:r>
      <w:r w:rsidR="001844E0">
        <w:rPr>
          <w:rFonts w:ascii="Calibri" w:eastAsia="MS Mincho" w:hAnsi="Calibri" w:cs="Calibri"/>
          <w:sz w:val="24"/>
          <w:lang w:val="en-GB"/>
        </w:rPr>
        <w:t xml:space="preserve">are fully functioning </w:t>
      </w:r>
      <w:r w:rsidR="00997B16">
        <w:rPr>
          <w:rFonts w:ascii="Calibri" w:eastAsia="MS Mincho" w:hAnsi="Calibri" w:cs="Calibri"/>
          <w:sz w:val="24"/>
          <w:lang w:val="en-GB"/>
        </w:rPr>
        <w:t>within overall national legislative system</w:t>
      </w:r>
      <w:r w:rsidR="000B34C2">
        <w:rPr>
          <w:rFonts w:ascii="Calibri" w:eastAsia="MS Mincho" w:hAnsi="Calibri" w:cs="Calibri"/>
          <w:sz w:val="24"/>
          <w:lang w:val="en-GB"/>
        </w:rPr>
        <w:t xml:space="preserve">. </w:t>
      </w:r>
      <w:r w:rsidR="005453CA">
        <w:rPr>
          <w:rFonts w:ascii="Calibri" w:eastAsia="MS Mincho" w:hAnsi="Calibri" w:cs="Calibri"/>
          <w:sz w:val="24"/>
          <w:lang w:val="en-GB"/>
        </w:rPr>
        <w:t xml:space="preserve">In addition, key factor is </w:t>
      </w:r>
      <w:r w:rsidR="00356BE1">
        <w:rPr>
          <w:rFonts w:ascii="Calibri" w:eastAsia="MS Mincho" w:hAnsi="Calibri" w:cs="Calibri"/>
          <w:sz w:val="24"/>
          <w:lang w:val="en-GB"/>
        </w:rPr>
        <w:t xml:space="preserve">assessment of </w:t>
      </w:r>
      <w:r w:rsidR="00623BE0">
        <w:rPr>
          <w:rFonts w:ascii="Calibri" w:eastAsia="MS Mincho" w:hAnsi="Calibri" w:cs="Calibri"/>
          <w:sz w:val="24"/>
          <w:lang w:val="en-GB"/>
        </w:rPr>
        <w:t xml:space="preserve">the </w:t>
      </w:r>
      <w:r w:rsidR="008C5E6D">
        <w:rPr>
          <w:rFonts w:ascii="Calibri" w:eastAsia="MS Mincho" w:hAnsi="Calibri" w:cs="Calibri"/>
          <w:sz w:val="24"/>
          <w:lang w:val="en-GB"/>
        </w:rPr>
        <w:t>type and number</w:t>
      </w:r>
      <w:r w:rsidR="00747F2C">
        <w:rPr>
          <w:rFonts w:ascii="Calibri" w:eastAsia="MS Mincho" w:hAnsi="Calibri" w:cs="Calibri"/>
          <w:sz w:val="24"/>
          <w:lang w:val="en-GB"/>
        </w:rPr>
        <w:t xml:space="preserve"> </w:t>
      </w:r>
      <w:r w:rsidR="008C5E6D">
        <w:rPr>
          <w:rFonts w:ascii="Calibri" w:eastAsia="MS Mincho" w:hAnsi="Calibri" w:cs="Calibri"/>
          <w:sz w:val="24"/>
          <w:lang w:val="en-GB"/>
        </w:rPr>
        <w:t>of stakeholders</w:t>
      </w:r>
      <w:r w:rsidR="00495DC7">
        <w:rPr>
          <w:rFonts w:ascii="Calibri" w:eastAsia="MS Mincho" w:hAnsi="Calibri" w:cs="Calibri"/>
          <w:sz w:val="24"/>
          <w:lang w:val="en-GB"/>
        </w:rPr>
        <w:t xml:space="preserve"> </w:t>
      </w:r>
      <w:r w:rsidR="00BB5432">
        <w:rPr>
          <w:rFonts w:ascii="Calibri" w:eastAsia="MS Mincho" w:hAnsi="Calibri" w:cs="Calibri"/>
          <w:sz w:val="24"/>
          <w:lang w:val="en-GB"/>
        </w:rPr>
        <w:t>in specific</w:t>
      </w:r>
      <w:r w:rsidR="00623BE0">
        <w:rPr>
          <w:rFonts w:ascii="Calibri" w:eastAsia="MS Mincho" w:hAnsi="Calibri" w:cs="Calibri"/>
          <w:sz w:val="24"/>
          <w:lang w:val="en-GB"/>
        </w:rPr>
        <w:t xml:space="preserve"> </w:t>
      </w:r>
      <w:r w:rsidR="00BB5432">
        <w:rPr>
          <w:rFonts w:ascii="Calibri" w:eastAsia="MS Mincho" w:hAnsi="Calibri" w:cs="Calibri"/>
          <w:sz w:val="24"/>
          <w:lang w:val="en-GB"/>
        </w:rPr>
        <w:t>sector</w:t>
      </w:r>
      <w:r w:rsidR="00623BE0">
        <w:rPr>
          <w:rFonts w:ascii="Calibri" w:eastAsia="MS Mincho" w:hAnsi="Calibri" w:cs="Calibri"/>
          <w:sz w:val="24"/>
          <w:lang w:val="en-GB"/>
        </w:rPr>
        <w:t>s</w:t>
      </w:r>
      <w:r w:rsidR="00BB5432">
        <w:rPr>
          <w:rFonts w:ascii="Calibri" w:eastAsia="MS Mincho" w:hAnsi="Calibri" w:cs="Calibri"/>
          <w:sz w:val="24"/>
          <w:lang w:val="en-GB"/>
        </w:rPr>
        <w:t xml:space="preserve"> (for example, </w:t>
      </w:r>
      <w:r w:rsidR="00A02628">
        <w:rPr>
          <w:rFonts w:ascii="Calibri" w:eastAsia="MS Mincho" w:hAnsi="Calibri" w:cs="Calibri"/>
          <w:sz w:val="24"/>
          <w:lang w:val="en-GB"/>
        </w:rPr>
        <w:t xml:space="preserve">small number of contracting authorities applies the Defence Directive compared to the </w:t>
      </w:r>
      <w:r w:rsidR="002358E2">
        <w:rPr>
          <w:rFonts w:ascii="Calibri" w:eastAsia="MS Mincho" w:hAnsi="Calibri" w:cs="Calibri"/>
          <w:sz w:val="24"/>
          <w:lang w:val="en-GB"/>
        </w:rPr>
        <w:t xml:space="preserve">Public Sector </w:t>
      </w:r>
      <w:r w:rsidR="00A02628">
        <w:rPr>
          <w:rFonts w:ascii="Calibri" w:eastAsia="MS Mincho" w:hAnsi="Calibri" w:cs="Calibri"/>
          <w:sz w:val="24"/>
          <w:lang w:val="en-GB"/>
        </w:rPr>
        <w:t xml:space="preserve">Directive). </w:t>
      </w:r>
      <w:r w:rsidR="002358E2">
        <w:rPr>
          <w:rFonts w:ascii="Calibri" w:eastAsia="MS Mincho" w:hAnsi="Calibri" w:cs="Calibri"/>
          <w:sz w:val="24"/>
          <w:lang w:val="en-GB"/>
        </w:rPr>
        <w:t>This</w:t>
      </w:r>
      <w:r w:rsidR="00693053">
        <w:rPr>
          <w:rFonts w:ascii="Calibri" w:eastAsia="MS Mincho" w:hAnsi="Calibri" w:cs="Calibri"/>
          <w:sz w:val="24"/>
          <w:lang w:val="en-GB"/>
        </w:rPr>
        <w:t xml:space="preserve"> kind of assessment is </w:t>
      </w:r>
      <w:r w:rsidR="00764D55">
        <w:rPr>
          <w:rFonts w:ascii="Calibri" w:eastAsia="MS Mincho" w:hAnsi="Calibri" w:cs="Calibri"/>
          <w:sz w:val="24"/>
          <w:lang w:val="en-GB"/>
        </w:rPr>
        <w:t xml:space="preserve">required </w:t>
      </w:r>
      <w:r w:rsidR="002358E2">
        <w:rPr>
          <w:rFonts w:ascii="Calibri" w:eastAsia="MS Mincho" w:hAnsi="Calibri" w:cs="Calibri"/>
          <w:sz w:val="24"/>
          <w:lang w:val="en-GB"/>
        </w:rPr>
        <w:t>because</w:t>
      </w:r>
      <w:r w:rsidR="00764D55">
        <w:rPr>
          <w:rFonts w:ascii="Calibri" w:eastAsia="MS Mincho" w:hAnsi="Calibri" w:cs="Calibri"/>
          <w:sz w:val="24"/>
          <w:lang w:val="en-GB"/>
        </w:rPr>
        <w:t xml:space="preserve"> </w:t>
      </w:r>
      <w:r w:rsidR="00F7592C">
        <w:rPr>
          <w:rFonts w:ascii="Calibri" w:eastAsia="MS Mincho" w:hAnsi="Calibri" w:cs="Calibri"/>
          <w:sz w:val="24"/>
          <w:lang w:val="en-GB"/>
        </w:rPr>
        <w:t xml:space="preserve">one of the basic goals </w:t>
      </w:r>
      <w:r w:rsidR="00543E6F">
        <w:rPr>
          <w:rFonts w:ascii="Calibri" w:eastAsia="MS Mincho" w:hAnsi="Calibri" w:cs="Calibri"/>
          <w:sz w:val="24"/>
          <w:lang w:val="en-GB"/>
        </w:rPr>
        <w:t xml:space="preserve">of the public procurement system should be </w:t>
      </w:r>
      <w:r w:rsidR="0034077F">
        <w:rPr>
          <w:rFonts w:ascii="Calibri" w:eastAsia="MS Mincho" w:hAnsi="Calibri" w:cs="Calibri"/>
          <w:sz w:val="24"/>
          <w:lang w:val="en-GB"/>
        </w:rPr>
        <w:t>e</w:t>
      </w:r>
      <w:r w:rsidR="002358E2">
        <w:rPr>
          <w:rFonts w:ascii="Calibri" w:eastAsia="MS Mincho" w:hAnsi="Calibri" w:cs="Calibri"/>
          <w:sz w:val="24"/>
          <w:lang w:val="en-GB"/>
        </w:rPr>
        <w:t>stablishing</w:t>
      </w:r>
      <w:r w:rsidR="00251E50">
        <w:rPr>
          <w:rFonts w:ascii="Calibri" w:eastAsia="MS Mincho" w:hAnsi="Calibri" w:cs="Calibri"/>
          <w:sz w:val="24"/>
          <w:lang w:val="en-GB"/>
        </w:rPr>
        <w:t xml:space="preserve"> of</w:t>
      </w:r>
      <w:r w:rsidR="002358E2">
        <w:rPr>
          <w:rFonts w:ascii="Calibri" w:eastAsia="MS Mincho" w:hAnsi="Calibri" w:cs="Calibri"/>
          <w:sz w:val="24"/>
          <w:lang w:val="en-GB"/>
        </w:rPr>
        <w:t xml:space="preserve"> sound and</w:t>
      </w:r>
      <w:r w:rsidR="00251E50">
        <w:rPr>
          <w:rFonts w:ascii="Calibri" w:eastAsia="MS Mincho" w:hAnsi="Calibri" w:cs="Calibri"/>
          <w:sz w:val="24"/>
          <w:lang w:val="en-GB"/>
        </w:rPr>
        <w:t xml:space="preserve"> efficient public procurement procedures without unnecessary administrative burdens. </w:t>
      </w:r>
      <w:r w:rsidR="0098447A">
        <w:rPr>
          <w:rFonts w:ascii="Calibri" w:eastAsia="MS Mincho" w:hAnsi="Calibri" w:cs="Calibri"/>
          <w:sz w:val="24"/>
          <w:lang w:val="en-GB"/>
        </w:rPr>
        <w:t xml:space="preserve">Therefore, </w:t>
      </w:r>
      <w:r w:rsidR="00876E4F">
        <w:rPr>
          <w:rFonts w:ascii="Calibri" w:eastAsia="MS Mincho" w:hAnsi="Calibri" w:cs="Calibri"/>
          <w:sz w:val="24"/>
          <w:lang w:val="en-GB"/>
        </w:rPr>
        <w:t xml:space="preserve">when deciding which of </w:t>
      </w:r>
      <w:r w:rsidR="002358E2">
        <w:rPr>
          <w:rFonts w:ascii="Calibri" w:eastAsia="MS Mincho" w:hAnsi="Calibri" w:cs="Calibri"/>
          <w:sz w:val="24"/>
          <w:lang w:val="en-GB"/>
        </w:rPr>
        <w:t>the</w:t>
      </w:r>
      <w:r w:rsidR="00876E4F">
        <w:rPr>
          <w:rFonts w:ascii="Calibri" w:eastAsia="MS Mincho" w:hAnsi="Calibri" w:cs="Calibri"/>
          <w:sz w:val="24"/>
          <w:lang w:val="en-GB"/>
        </w:rPr>
        <w:t xml:space="preserve"> options</w:t>
      </w:r>
      <w:r w:rsidR="002358E2">
        <w:rPr>
          <w:rFonts w:ascii="Calibri" w:eastAsia="MS Mincho" w:hAnsi="Calibri" w:cs="Calibri"/>
          <w:sz w:val="24"/>
          <w:lang w:val="en-GB"/>
        </w:rPr>
        <w:t xml:space="preserve"> presented</w:t>
      </w:r>
      <w:r w:rsidR="00876E4F">
        <w:rPr>
          <w:rFonts w:ascii="Calibri" w:eastAsia="MS Mincho" w:hAnsi="Calibri" w:cs="Calibri"/>
          <w:sz w:val="24"/>
          <w:lang w:val="en-GB"/>
        </w:rPr>
        <w:t xml:space="preserve"> should be applied</w:t>
      </w:r>
      <w:r w:rsidR="002358E2">
        <w:rPr>
          <w:rFonts w:ascii="Calibri" w:eastAsia="MS Mincho" w:hAnsi="Calibri" w:cs="Calibri"/>
          <w:sz w:val="24"/>
          <w:lang w:val="en-GB"/>
        </w:rPr>
        <w:t>,</w:t>
      </w:r>
      <w:r w:rsidR="00876E4F">
        <w:rPr>
          <w:rFonts w:ascii="Calibri" w:eastAsia="MS Mincho" w:hAnsi="Calibri" w:cs="Calibri"/>
          <w:sz w:val="24"/>
          <w:lang w:val="en-GB"/>
        </w:rPr>
        <w:t xml:space="preserve"> </w:t>
      </w:r>
      <w:r w:rsidR="002358E2">
        <w:rPr>
          <w:rFonts w:ascii="Calibri" w:eastAsia="MS Mincho" w:hAnsi="Calibri" w:cs="Calibri"/>
          <w:sz w:val="24"/>
          <w:lang w:val="en-GB"/>
        </w:rPr>
        <w:t xml:space="preserve">Serbian authorities should take into consideration the option that will result </w:t>
      </w:r>
      <w:r w:rsidR="007C2023">
        <w:rPr>
          <w:rFonts w:ascii="Calibri" w:eastAsia="MS Mincho" w:hAnsi="Calibri" w:cs="Calibri"/>
          <w:sz w:val="24"/>
          <w:lang w:val="en-GB"/>
        </w:rPr>
        <w:t xml:space="preserve">in </w:t>
      </w:r>
      <w:r w:rsidR="002358E2">
        <w:rPr>
          <w:rFonts w:ascii="Calibri" w:eastAsia="MS Mincho" w:hAnsi="Calibri" w:cs="Calibri"/>
          <w:sz w:val="24"/>
          <w:lang w:val="en-GB"/>
        </w:rPr>
        <w:t xml:space="preserve">the </w:t>
      </w:r>
      <w:r w:rsidR="007C2023">
        <w:rPr>
          <w:rFonts w:ascii="Calibri" w:eastAsia="MS Mincho" w:hAnsi="Calibri" w:cs="Calibri"/>
          <w:sz w:val="24"/>
          <w:lang w:val="en-GB"/>
        </w:rPr>
        <w:t>be</w:t>
      </w:r>
      <w:r w:rsidR="002358E2">
        <w:rPr>
          <w:rFonts w:ascii="Calibri" w:eastAsia="MS Mincho" w:hAnsi="Calibri" w:cs="Calibri"/>
          <w:sz w:val="24"/>
          <w:lang w:val="en-GB"/>
        </w:rPr>
        <w:t>st</w:t>
      </w:r>
      <w:r w:rsidR="007C2023">
        <w:rPr>
          <w:rFonts w:ascii="Calibri" w:eastAsia="MS Mincho" w:hAnsi="Calibri" w:cs="Calibri"/>
          <w:sz w:val="24"/>
          <w:lang w:val="en-GB"/>
        </w:rPr>
        <w:t xml:space="preserve"> overall structure of the national system. </w:t>
      </w:r>
    </w:p>
    <w:p w:rsidR="00151C05" w:rsidRDefault="00151C05" w:rsidP="00DB318D">
      <w:pPr>
        <w:keepNext w:val="0"/>
        <w:keepLines w:val="0"/>
        <w:spacing w:after="120" w:line="240" w:lineRule="auto"/>
        <w:ind w:right="113"/>
        <w:jc w:val="both"/>
        <w:rPr>
          <w:rFonts w:ascii="Calibri" w:eastAsia="MS Mincho" w:hAnsi="Calibri" w:cs="Calibri"/>
          <w:sz w:val="24"/>
          <w:lang w:val="en-GB"/>
        </w:rPr>
      </w:pPr>
    </w:p>
    <w:p w:rsidR="00395B69" w:rsidRPr="00A57183" w:rsidRDefault="00395B69" w:rsidP="00DB318D">
      <w:pPr>
        <w:keepNext w:val="0"/>
        <w:keepLines w:val="0"/>
        <w:spacing w:after="120" w:line="240" w:lineRule="auto"/>
        <w:ind w:right="113"/>
        <w:jc w:val="both"/>
        <w:rPr>
          <w:rFonts w:ascii="Calibri" w:eastAsia="MS Mincho" w:hAnsi="Calibri" w:cs="Calibri"/>
          <w:sz w:val="24"/>
          <w:lang w:val="en-GB"/>
        </w:rPr>
      </w:pPr>
      <w:r w:rsidRPr="00A57183">
        <w:rPr>
          <w:rFonts w:ascii="Calibri" w:eastAsia="MS Mincho" w:hAnsi="Calibri" w:cs="Calibri"/>
          <w:sz w:val="24"/>
          <w:lang w:val="en-GB"/>
        </w:rPr>
        <w:t>Analysis drafted by:</w:t>
      </w:r>
    </w:p>
    <w:p w:rsidR="00395B69" w:rsidRPr="00A57183" w:rsidRDefault="00395B69" w:rsidP="00DB318D">
      <w:pPr>
        <w:keepNext w:val="0"/>
        <w:keepLines w:val="0"/>
        <w:spacing w:after="120" w:line="240" w:lineRule="auto"/>
        <w:ind w:right="113"/>
        <w:jc w:val="both"/>
        <w:rPr>
          <w:rFonts w:ascii="Calibri" w:eastAsia="MS Mincho" w:hAnsi="Calibri" w:cs="Calibri"/>
          <w:sz w:val="24"/>
          <w:lang w:val="en-GB"/>
        </w:rPr>
      </w:pPr>
      <w:r w:rsidRPr="00A57183">
        <w:rPr>
          <w:rFonts w:ascii="Calibri" w:eastAsia="MS Mincho" w:hAnsi="Calibri" w:cs="Calibri"/>
          <w:sz w:val="24"/>
          <w:lang w:val="en-GB"/>
        </w:rPr>
        <w:t>Teja Kolar</w:t>
      </w:r>
    </w:p>
    <w:p w:rsidR="00435BE6" w:rsidRPr="00CD60B5" w:rsidRDefault="00435BE6" w:rsidP="00DB318D">
      <w:pPr>
        <w:keepNext w:val="0"/>
        <w:keepLines w:val="0"/>
        <w:rPr>
          <w:lang w:val="en-GB"/>
        </w:rPr>
      </w:pPr>
    </w:p>
    <w:sectPr w:rsidR="00435BE6" w:rsidRPr="00CD60B5" w:rsidSect="006377C5">
      <w:headerReference w:type="default" r:id="rId12"/>
      <w:footerReference w:type="default" r:id="rId13"/>
      <w:type w:val="continuous"/>
      <w:pgSz w:w="11907" w:h="16840" w:code="9"/>
      <w:pgMar w:top="652" w:right="1134" w:bottom="993" w:left="1446" w:header="652" w:footer="635"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0E3" w:rsidRDefault="00AD50E3">
      <w:pPr>
        <w:spacing w:after="0" w:line="240" w:lineRule="auto"/>
      </w:pPr>
      <w:r>
        <w:separator/>
      </w:r>
    </w:p>
  </w:endnote>
  <w:endnote w:type="continuationSeparator" w:id="0">
    <w:p w:rsidR="00AD50E3" w:rsidRDefault="00AD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A5" w:rsidRPr="00231CAD" w:rsidRDefault="00EE2FA5">
    <w:pPr>
      <w:pStyle w:val="Footer"/>
      <w:jc w:val="center"/>
      <w:rPr>
        <w:rFonts w:ascii="Calibri" w:hAnsi="Calibri" w:cs="Calibri"/>
        <w:sz w:val="18"/>
      </w:rPr>
    </w:pPr>
    <w:r w:rsidRPr="00231CAD">
      <w:rPr>
        <w:rFonts w:ascii="Calibri" w:hAnsi="Calibri" w:cs="Calibri"/>
        <w:sz w:val="18"/>
      </w:rPr>
      <w:fldChar w:fldCharType="begin"/>
    </w:r>
    <w:r w:rsidRPr="00231CAD">
      <w:rPr>
        <w:rFonts w:ascii="Calibri" w:hAnsi="Calibri" w:cs="Calibri"/>
        <w:sz w:val="18"/>
      </w:rPr>
      <w:instrText>PAGE   \* MERGEFORMAT</w:instrText>
    </w:r>
    <w:r w:rsidRPr="00231CAD">
      <w:rPr>
        <w:rFonts w:ascii="Calibri" w:hAnsi="Calibri" w:cs="Calibri"/>
        <w:sz w:val="18"/>
      </w:rPr>
      <w:fldChar w:fldCharType="separate"/>
    </w:r>
    <w:r w:rsidR="009558C1">
      <w:rPr>
        <w:rFonts w:ascii="Calibri" w:hAnsi="Calibri" w:cs="Calibri"/>
        <w:noProof/>
        <w:sz w:val="18"/>
      </w:rPr>
      <w:t>2</w:t>
    </w:r>
    <w:r w:rsidRPr="00231CAD">
      <w:rPr>
        <w:rFonts w:ascii="Calibri" w:hAnsi="Calibri" w:cs="Calibri"/>
        <w:sz w:val="18"/>
      </w:rPr>
      <w:fldChar w:fldCharType="end"/>
    </w:r>
  </w:p>
  <w:p w:rsidR="00EE2FA5" w:rsidRDefault="00EE2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0E3" w:rsidRDefault="00AD50E3">
      <w:pPr>
        <w:spacing w:after="0" w:line="240" w:lineRule="auto"/>
      </w:pPr>
      <w:r>
        <w:separator/>
      </w:r>
    </w:p>
  </w:footnote>
  <w:footnote w:type="continuationSeparator" w:id="0">
    <w:p w:rsidR="00AD50E3" w:rsidRDefault="00AD50E3">
      <w:pPr>
        <w:spacing w:after="0" w:line="240" w:lineRule="auto"/>
      </w:pPr>
      <w:r>
        <w:continuationSeparator/>
      </w:r>
    </w:p>
  </w:footnote>
  <w:footnote w:id="1">
    <w:p w:rsidR="00EE2FA5" w:rsidRDefault="00EE2FA5">
      <w:pPr>
        <w:pStyle w:val="FootnoteText"/>
      </w:pPr>
      <w:r>
        <w:rPr>
          <w:rStyle w:val="FootnoteReference"/>
        </w:rPr>
        <w:footnoteRef/>
      </w:r>
      <w:r>
        <w:t xml:space="preserve"> A</w:t>
      </w:r>
      <w:r w:rsidRPr="00D154DD">
        <w:t xml:space="preserve">rticle 7 of the </w:t>
      </w:r>
      <w:r>
        <w:t xml:space="preserve">new </w:t>
      </w:r>
      <w:r w:rsidRPr="00D154DD">
        <w:t>Public Sector Directive</w:t>
      </w:r>
    </w:p>
  </w:footnote>
  <w:footnote w:id="2">
    <w:p w:rsidR="00EE2FA5" w:rsidRDefault="00EE2FA5">
      <w:pPr>
        <w:pStyle w:val="FootnoteText"/>
      </w:pPr>
      <w:r>
        <w:rPr>
          <w:rStyle w:val="FootnoteReference"/>
        </w:rPr>
        <w:footnoteRef/>
      </w:r>
      <w:r>
        <w:t xml:space="preserve"> Article 3 of the new Public Sector Directive and Article 6 of the new Utilities Directive</w:t>
      </w:r>
    </w:p>
  </w:footnote>
  <w:footnote w:id="3">
    <w:p w:rsidR="00EE2FA5" w:rsidRPr="00BD3A2B" w:rsidRDefault="00EE2FA5" w:rsidP="00BD3A2B">
      <w:pPr>
        <w:spacing w:after="120" w:line="240" w:lineRule="auto"/>
        <w:jc w:val="both"/>
        <w:rPr>
          <w:rFonts w:ascii="Calibri" w:eastAsia="Calibri" w:hAnsi="Calibri" w:cs="Calibri"/>
          <w:sz w:val="24"/>
          <w:szCs w:val="20"/>
          <w:lang w:val="en-GB"/>
        </w:rPr>
      </w:pPr>
      <w:r>
        <w:rPr>
          <w:rStyle w:val="FootnoteReference"/>
        </w:rPr>
        <w:footnoteRef/>
      </w:r>
      <w:r>
        <w:t xml:space="preserve"> </w:t>
      </w:r>
      <w:hyperlink r:id="rId1" w:history="1">
        <w:r w:rsidRPr="007178B3">
          <w:rPr>
            <w:rStyle w:val="Hyperlink"/>
            <w:sz w:val="20"/>
            <w:szCs w:val="20"/>
          </w:rPr>
          <w:t>http://www.mju.gov.si/si/novinarsko_sredisce/novica/article/1328/6043/d070f5ff31456e0a0c67dd689ff28be4/</w:t>
        </w:r>
      </w:hyperlink>
      <w:r>
        <w:rPr>
          <w:sz w:val="20"/>
          <w:szCs w:val="20"/>
        </w:rPr>
        <w:t xml:space="preserve"> </w:t>
      </w:r>
    </w:p>
  </w:footnote>
  <w:footnote w:id="4">
    <w:p w:rsidR="00EE2FA5" w:rsidRDefault="00EE2FA5" w:rsidP="008C0486">
      <w:pPr>
        <w:pStyle w:val="FootnoteText"/>
        <w:jc w:val="both"/>
      </w:pPr>
      <w:r>
        <w:rPr>
          <w:rStyle w:val="FootnoteReference"/>
        </w:rPr>
        <w:footnoteRef/>
      </w:r>
      <w:r>
        <w:t xml:space="preserve"> The 1958 list was translated in November 2008 into all languages of the EU and is publicly available since then (</w:t>
      </w:r>
      <w:hyperlink r:id="rId2" w:history="1">
        <w:r w:rsidRPr="00FD20F0">
          <w:rPr>
            <w:rStyle w:val="Hyperlink"/>
          </w:rPr>
          <w:t>http://register.consilium.europa.eu/doc/srv?l=EN&amp;f=ST%2014538%202008%20REV%204</w:t>
        </w:r>
      </w:hyperlink>
      <w:r>
        <w:t>).</w:t>
      </w:r>
      <w:r w:rsidRPr="00885DF5">
        <w:rPr>
          <w:lang w:val="en-GB"/>
        </w:rPr>
        <w:t xml:space="preserve"> </w:t>
      </w:r>
      <w:r>
        <w:rPr>
          <w:lang w:val="en-GB"/>
        </w:rPr>
        <w:t xml:space="preserve">Defence </w:t>
      </w:r>
      <w:r w:rsidRPr="00885DF5">
        <w:rPr>
          <w:lang w:val="en-GB"/>
        </w:rPr>
        <w:t xml:space="preserve">Directive makes explicit reference to this list, but it does not reproduce the list. </w:t>
      </w:r>
    </w:p>
  </w:footnote>
  <w:footnote w:id="5">
    <w:p w:rsidR="00EE2FA5" w:rsidRPr="00106ECC" w:rsidRDefault="00EE2FA5" w:rsidP="00106ECC">
      <w:pPr>
        <w:pStyle w:val="FootnoteText"/>
        <w:jc w:val="both"/>
        <w:rPr>
          <w:lang w:val="en-GB"/>
        </w:rPr>
      </w:pPr>
      <w:r>
        <w:rPr>
          <w:rStyle w:val="FootnoteReference"/>
        </w:rPr>
        <w:footnoteRef/>
      </w:r>
      <w:r>
        <w:t xml:space="preserve"> </w:t>
      </w:r>
      <w:r w:rsidRPr="00106ECC">
        <w:rPr>
          <w:lang w:val="en-GB"/>
        </w:rPr>
        <w:t>Directive 89/665/EEC, on the coordination of laws, regulations and administrative provisions relating to the application of review procedures to the award of public supply and public works contracts, O.J. 1989 L395/33.</w:t>
      </w:r>
    </w:p>
  </w:footnote>
  <w:footnote w:id="6">
    <w:p w:rsidR="00EE2FA5" w:rsidRPr="00106ECC" w:rsidRDefault="00EE2FA5" w:rsidP="00106ECC">
      <w:pPr>
        <w:pStyle w:val="FootnoteText"/>
        <w:jc w:val="both"/>
        <w:rPr>
          <w:lang w:val="en-GB"/>
        </w:rPr>
      </w:pPr>
      <w:r w:rsidRPr="00106ECC">
        <w:rPr>
          <w:rStyle w:val="FootnoteReference"/>
          <w:lang w:val="en-GB"/>
        </w:rPr>
        <w:footnoteRef/>
      </w:r>
      <w:r w:rsidRPr="00106ECC">
        <w:rPr>
          <w:lang w:val="en-GB"/>
        </w:rPr>
        <w:t xml:space="preserve"> </w:t>
      </w:r>
      <w:r w:rsidRPr="00106ECC">
        <w:rPr>
          <w:rFonts w:cstheme="minorHAnsi"/>
          <w:lang w:val="en-GB"/>
        </w:rPr>
        <w:t>Directive 92/13/EEC coordinating the laws, regulations and administrative provisions relating to the application of Community rules on the procurement procedures of entities operating in the water, energy, transport and telecommunications sectors, O.J. 1992 L76/14.</w:t>
      </w:r>
    </w:p>
  </w:footnote>
  <w:footnote w:id="7">
    <w:p w:rsidR="00EE2FA5" w:rsidRPr="00106ECC" w:rsidRDefault="00EE2FA5" w:rsidP="001D6F43">
      <w:pPr>
        <w:pStyle w:val="FootnoteText"/>
        <w:jc w:val="both"/>
        <w:rPr>
          <w:lang w:val="en-GB"/>
        </w:rPr>
      </w:pPr>
      <w:r w:rsidRPr="00106ECC">
        <w:rPr>
          <w:rStyle w:val="FootnoteReference"/>
          <w:lang w:val="en-GB"/>
        </w:rPr>
        <w:footnoteRef/>
      </w:r>
      <w:r w:rsidRPr="00106ECC">
        <w:rPr>
          <w:lang w:val="en-GB"/>
        </w:rPr>
        <w:t xml:space="preserve"> </w:t>
      </w:r>
      <w:r w:rsidRPr="00106ECC">
        <w:rPr>
          <w:rFonts w:cstheme="minorHAnsi"/>
          <w:lang w:val="en-GB"/>
        </w:rPr>
        <w:t>Directive 2007/66/EC of 11 December 2007, amending Council Directives 89/665/EEC and 92/13/EEC with regard to improving the effectiveness of review procedures concerning the award of public contracts O.J. L335, 20/12/07</w:t>
      </w:r>
      <w:r>
        <w:rPr>
          <w:rFonts w:cstheme="minorHAnsi"/>
          <w:lang w:val="en-GB"/>
        </w:rPr>
        <w:t>.</w:t>
      </w:r>
    </w:p>
  </w:footnote>
  <w:footnote w:id="8">
    <w:p w:rsidR="00EE2FA5" w:rsidRDefault="00EE2FA5">
      <w:pPr>
        <w:pStyle w:val="FootnoteText"/>
      </w:pPr>
      <w:r>
        <w:rPr>
          <w:rStyle w:val="FootnoteReference"/>
        </w:rPr>
        <w:footnoteRef/>
      </w:r>
      <w:r>
        <w:t xml:space="preserve"> </w:t>
      </w:r>
      <w:r w:rsidRPr="005619E9">
        <w:rPr>
          <w:lang w:val="en-GB"/>
        </w:rPr>
        <w:t>Voluntary ex ante transparency notice</w:t>
      </w:r>
    </w:p>
  </w:footnote>
  <w:footnote w:id="9">
    <w:p w:rsidR="00EE2FA5" w:rsidRDefault="00EE2FA5" w:rsidP="001D6F43">
      <w:pPr>
        <w:pStyle w:val="FootnoteText"/>
        <w:jc w:val="both"/>
      </w:pPr>
      <w:r>
        <w:rPr>
          <w:rStyle w:val="FootnoteReference"/>
        </w:rPr>
        <w:footnoteRef/>
      </w:r>
      <w:r>
        <w:t xml:space="preserve"> </w:t>
      </w:r>
      <w:r w:rsidRPr="001D6F43">
        <w:rPr>
          <w:lang w:val="en-GB"/>
        </w:rPr>
        <w:t>Directive 2014/23/EU of the European Parliament and of the Council of 26 February 2014 on the award of concession contracts, OJ L 94/1, 28.03.2014.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A5" w:rsidRDefault="00EE2FA5">
    <w:pPr>
      <w:pStyle w:val="Header"/>
      <w:ind w:right="360"/>
    </w:pPr>
  </w:p>
  <w:p w:rsidR="00EE2FA5" w:rsidRDefault="00EE2F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A5" w:rsidRDefault="00EE2FA5">
    <w:pPr>
      <w:pStyle w:val="Header"/>
      <w:ind w:right="28"/>
      <w:rPr>
        <w:b/>
        <w:bCs/>
        <w:spacing w:val="-4"/>
      </w:rPr>
    </w:pPr>
  </w:p>
  <w:p w:rsidR="00EE2FA5" w:rsidRDefault="00EE2FA5">
    <w:pPr>
      <w:pStyle w:val="Header"/>
      <w:ind w:right="28"/>
      <w:jc w:val="right"/>
    </w:pPr>
    <w:r w:rsidRPr="00223B69">
      <w:rPr>
        <w:noProof/>
        <w:lang w:val="sr-Latn-RS" w:eastAsia="sr-Latn-RS"/>
      </w:rPr>
      <w:drawing>
        <wp:inline distT="0" distB="0" distL="0" distR="0">
          <wp:extent cx="628650" cy="1295400"/>
          <wp:effectExtent l="0" t="0" r="0" b="0"/>
          <wp:docPr id="1" name="Slika 1" descr="kpc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cundp2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1295400"/>
                  </a:xfrm>
                  <a:prstGeom prst="rect">
                    <a:avLst/>
                  </a:prstGeom>
                  <a:noFill/>
                  <a:ln>
                    <a:noFill/>
                  </a:ln>
                </pic:spPr>
              </pic:pic>
            </a:graphicData>
          </a:graphic>
        </wp:inline>
      </w:drawing>
    </w:r>
  </w:p>
  <w:p w:rsidR="00EE2FA5" w:rsidRDefault="00EE2FA5">
    <w:pPr>
      <w:pStyle w:val="InterofficeMemorandumheading"/>
      <w:framePr w:w="1888" w:hSpace="187" w:wrap="around" w:vAnchor="page" w:hAnchor="page" w:x="9714" w:y="2983" w:anchorLock="1"/>
      <w:tabs>
        <w:tab w:val="clear" w:pos="6840"/>
        <w:tab w:val="clear" w:pos="8368"/>
      </w:tabs>
      <w:jc w:val="center"/>
      <w:rPr>
        <w:rFonts w:ascii="Myriad Pro" w:hAnsi="Myriad Pro"/>
        <w:b w:val="0"/>
        <w:bCs/>
        <w:i/>
        <w:iCs/>
        <w:spacing w:val="-4"/>
        <w:sz w:val="24"/>
        <w:lang w:val="en-GB"/>
      </w:rPr>
    </w:pPr>
  </w:p>
  <w:p w:rsidR="00EE2FA5" w:rsidRDefault="00EE2FA5">
    <w:pPr>
      <w:pStyle w:val="InterofficeMemorandumheading"/>
      <w:framePr w:w="1888" w:hSpace="187" w:wrap="around" w:vAnchor="page" w:hAnchor="page" w:x="9714" w:y="2983" w:anchorLock="1"/>
      <w:tabs>
        <w:tab w:val="clear" w:pos="6840"/>
        <w:tab w:val="clear" w:pos="8368"/>
      </w:tabs>
      <w:jc w:val="center"/>
      <w:rPr>
        <w:rFonts w:ascii="Myriad Pro" w:hAnsi="Myriad Pro"/>
        <w:b w:val="0"/>
        <w:bCs/>
        <w:i/>
        <w:iCs/>
        <w:spacing w:val="-4"/>
        <w:sz w:val="24"/>
        <w:lang w:val="en-GB"/>
      </w:rPr>
    </w:pPr>
  </w:p>
  <w:p w:rsidR="00EE2FA5" w:rsidRDefault="00EE2FA5">
    <w:pPr>
      <w:pStyle w:val="InterofficeMemorandumheading"/>
      <w:framePr w:w="1888" w:hSpace="187" w:wrap="around" w:vAnchor="page" w:hAnchor="page" w:x="9714" w:y="2983" w:anchorLock="1"/>
      <w:tabs>
        <w:tab w:val="clear" w:pos="6840"/>
        <w:tab w:val="clear" w:pos="8368"/>
      </w:tabs>
      <w:jc w:val="center"/>
      <w:rPr>
        <w:rFonts w:ascii="Myriad Pro" w:hAnsi="Myriad Pro"/>
        <w:b w:val="0"/>
        <w:bCs/>
        <w:i/>
        <w:iCs/>
        <w:spacing w:val="4"/>
        <w:sz w:val="24"/>
        <w:lang w:val="en-GB"/>
      </w:rPr>
    </w:pPr>
  </w:p>
  <w:p w:rsidR="00EE2FA5" w:rsidRDefault="00EE2FA5">
    <w:pPr>
      <w:pStyle w:val="Header"/>
      <w:ind w:right="28"/>
      <w:jc w:val="right"/>
    </w:pPr>
  </w:p>
  <w:p w:rsidR="00EE2FA5" w:rsidRDefault="00EE2FA5">
    <w:pPr>
      <w:pStyle w:val="Header"/>
      <w:ind w:right="28"/>
      <w:jc w:val="right"/>
    </w:pPr>
  </w:p>
  <w:p w:rsidR="00EE2FA5" w:rsidRDefault="00EE2FA5">
    <w:pPr>
      <w:pStyle w:val="Header"/>
      <w:ind w:right="28"/>
      <w:jc w:val="right"/>
    </w:pPr>
  </w:p>
  <w:p w:rsidR="00EE2FA5" w:rsidRDefault="00EE2F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A5" w:rsidRDefault="009558C1" w:rsidP="00435BE6">
    <w:pPr>
      <w:pStyle w:val="Header"/>
      <w:ind w:right="28"/>
      <w:jc w:val="right"/>
    </w:pPr>
    <w:r>
      <w:rPr>
        <w:noProof/>
        <w:lang w:val="sr-Latn-RS" w:eastAsia="sr-Latn-RS"/>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ge">
                <wp:posOffset>680720</wp:posOffset>
              </wp:positionV>
              <wp:extent cx="2638425" cy="128270"/>
              <wp:effectExtent l="0" t="0" r="9525" b="5080"/>
              <wp:wrapNone/>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28270"/>
                      </a:xfrm>
                      <a:prstGeom prst="rect">
                        <a:avLst/>
                      </a:prstGeom>
                      <a:noFill/>
                      <a:ln>
                        <a:noFill/>
                      </a:ln>
                      <a:extLst/>
                    </wps:spPr>
                    <wps:txbx>
                      <w:txbxContent>
                        <w:p w:rsidR="00EE2FA5" w:rsidRDefault="00EE2FA5">
                          <w:pPr>
                            <w:rPr>
                              <w:spacing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4" o:spid="_x0000_s1026" type="#_x0000_t202" style="position:absolute;left:0;text-align:left;margin-left:.3pt;margin-top:53.6pt;width:207.75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" filled="f" stroked="f">
              <v:textbox inset="0,0,0,0">
                <w:txbxContent>
                  <w:p w:rsidR="00EE2FA5" w:rsidRDefault="00EE2FA5">
                    <w:pPr>
                      <w:rPr>
                        <w:spacing w:val="-4"/>
                      </w:rPr>
                    </w:pPr>
                  </w:p>
                </w:txbxContent>
              </v:textbox>
              <w10:wrap anchory="page"/>
            </v:shape>
          </w:pict>
        </mc:Fallback>
      </mc:AlternateContent>
    </w:r>
    <w:r>
      <w:rPr>
        <w:noProof/>
        <w:lang w:val="sr-Latn-RS" w:eastAsia="sr-Latn-RS"/>
      </w:rPr>
      <mc:AlternateContent>
        <mc:Choice Requires="wps">
          <w:drawing>
            <wp:anchor distT="4294967291" distB="4294967291" distL="114300" distR="114300" simplePos="0" relativeHeight="251659264" behindDoc="0" locked="0" layoutInCell="1" allowOverlap="1">
              <wp:simplePos x="0" y="0"/>
              <wp:positionH relativeFrom="column">
                <wp:posOffset>11430</wp:posOffset>
              </wp:positionH>
              <wp:positionV relativeFrom="page">
                <wp:posOffset>629919</wp:posOffset>
              </wp:positionV>
              <wp:extent cx="2468880" cy="0"/>
              <wp:effectExtent l="0" t="0" r="2667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6350">
                        <a:solidFill>
                          <a:srgbClr val="FFFFFF"/>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Ravni poveznik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9pt,49.6pt" to="195.3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" strokecolor="white" strokeweight=".5pt">
              <w10:wrap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A5" w:rsidRDefault="00EE2FA5">
    <w:pPr>
      <w:pStyle w:val="Header"/>
      <w:ind w:right="28"/>
      <w:rPr>
        <w:b/>
        <w:bCs/>
        <w:spacing w:val="-4"/>
      </w:rPr>
    </w:pPr>
  </w:p>
  <w:p w:rsidR="00EE2FA5" w:rsidRDefault="00EE2FA5">
    <w:pPr>
      <w:pStyle w:val="Header"/>
      <w:ind w:right="2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C1C01"/>
    <w:multiLevelType w:val="hybridMultilevel"/>
    <w:tmpl w:val="092405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3740ACA"/>
    <w:multiLevelType w:val="hybridMultilevel"/>
    <w:tmpl w:val="33408110"/>
    <w:lvl w:ilvl="0" w:tplc="F2EE5B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4CB657E"/>
    <w:multiLevelType w:val="hybridMultilevel"/>
    <w:tmpl w:val="B6DE0040"/>
    <w:lvl w:ilvl="0" w:tplc="041A0017">
      <w:start w:val="1"/>
      <w:numFmt w:val="lowerLetter"/>
      <w:lvlText w:val="%1)"/>
      <w:lvlJc w:val="left"/>
      <w:pPr>
        <w:ind w:left="720" w:hanging="360"/>
      </w:pPr>
    </w:lvl>
    <w:lvl w:ilvl="1" w:tplc="0A025F5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7DE4A82"/>
    <w:multiLevelType w:val="hybridMultilevel"/>
    <w:tmpl w:val="2B8610A2"/>
    <w:lvl w:ilvl="0" w:tplc="F2EE5BE4">
      <w:start w:val="1"/>
      <w:numFmt w:val="bullet"/>
      <w:lvlText w:val=""/>
      <w:lvlJc w:val="left"/>
      <w:pPr>
        <w:ind w:left="720" w:hanging="360"/>
      </w:pPr>
      <w:rPr>
        <w:rFonts w:ascii="Symbol" w:hAnsi="Symbol" w:hint="default"/>
      </w:rPr>
    </w:lvl>
    <w:lvl w:ilvl="1" w:tplc="F2EE5BE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CBE2558"/>
    <w:multiLevelType w:val="hybridMultilevel"/>
    <w:tmpl w:val="D278DF00"/>
    <w:lvl w:ilvl="0" w:tplc="F2EE5BE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6A770B4"/>
    <w:multiLevelType w:val="hybridMultilevel"/>
    <w:tmpl w:val="14BA715E"/>
    <w:lvl w:ilvl="0" w:tplc="F2EE5B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92468EA"/>
    <w:multiLevelType w:val="hybridMultilevel"/>
    <w:tmpl w:val="302C7B16"/>
    <w:lvl w:ilvl="0" w:tplc="F2EE5B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CD03986"/>
    <w:multiLevelType w:val="hybridMultilevel"/>
    <w:tmpl w:val="07186FB2"/>
    <w:lvl w:ilvl="0" w:tplc="F2EE5B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7E684120"/>
    <w:multiLevelType w:val="hybridMultilevel"/>
    <w:tmpl w:val="3D9A8DFE"/>
    <w:lvl w:ilvl="0" w:tplc="F2EE5BE4">
      <w:start w:val="1"/>
      <w:numFmt w:val="bullet"/>
      <w:lvlText w:val=""/>
      <w:lvlJc w:val="left"/>
      <w:pPr>
        <w:ind w:left="720" w:hanging="360"/>
      </w:pPr>
      <w:rPr>
        <w:rFonts w:ascii="Symbol" w:hAnsi="Symbol" w:hint="default"/>
      </w:rPr>
    </w:lvl>
    <w:lvl w:ilvl="1" w:tplc="ACCCA4BA">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6"/>
  </w:num>
  <w:num w:numId="6">
    <w:abstractNumId w:val="2"/>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69"/>
    <w:rsid w:val="00025CDB"/>
    <w:rsid w:val="00037E86"/>
    <w:rsid w:val="000510F3"/>
    <w:rsid w:val="00056490"/>
    <w:rsid w:val="00056754"/>
    <w:rsid w:val="000615BF"/>
    <w:rsid w:val="00081C98"/>
    <w:rsid w:val="000A200D"/>
    <w:rsid w:val="000A664F"/>
    <w:rsid w:val="000B34C2"/>
    <w:rsid w:val="000C764F"/>
    <w:rsid w:val="000D1BE3"/>
    <w:rsid w:val="000D46C3"/>
    <w:rsid w:val="000F1A48"/>
    <w:rsid w:val="000F3927"/>
    <w:rsid w:val="00106ECC"/>
    <w:rsid w:val="00115613"/>
    <w:rsid w:val="001165FD"/>
    <w:rsid w:val="00133390"/>
    <w:rsid w:val="00133FCD"/>
    <w:rsid w:val="00151C05"/>
    <w:rsid w:val="00153F5E"/>
    <w:rsid w:val="0015499D"/>
    <w:rsid w:val="0015670B"/>
    <w:rsid w:val="0016226F"/>
    <w:rsid w:val="0016548B"/>
    <w:rsid w:val="00171B31"/>
    <w:rsid w:val="00172D00"/>
    <w:rsid w:val="001844E0"/>
    <w:rsid w:val="001B0E8B"/>
    <w:rsid w:val="001C03C0"/>
    <w:rsid w:val="001D14DF"/>
    <w:rsid w:val="001D6F43"/>
    <w:rsid w:val="001E4808"/>
    <w:rsid w:val="001F7BBB"/>
    <w:rsid w:val="0020051A"/>
    <w:rsid w:val="00212BC2"/>
    <w:rsid w:val="002153EC"/>
    <w:rsid w:val="00216CD3"/>
    <w:rsid w:val="00220313"/>
    <w:rsid w:val="002358E2"/>
    <w:rsid w:val="00241D98"/>
    <w:rsid w:val="002430D6"/>
    <w:rsid w:val="00251E50"/>
    <w:rsid w:val="0025640E"/>
    <w:rsid w:val="00271449"/>
    <w:rsid w:val="002762DD"/>
    <w:rsid w:val="00280230"/>
    <w:rsid w:val="00285C76"/>
    <w:rsid w:val="00293B09"/>
    <w:rsid w:val="002974E0"/>
    <w:rsid w:val="002A1019"/>
    <w:rsid w:val="002C6246"/>
    <w:rsid w:val="00307BB4"/>
    <w:rsid w:val="00335EDD"/>
    <w:rsid w:val="0034077F"/>
    <w:rsid w:val="00347246"/>
    <w:rsid w:val="00356BE1"/>
    <w:rsid w:val="00361625"/>
    <w:rsid w:val="00364D3C"/>
    <w:rsid w:val="003721CB"/>
    <w:rsid w:val="00375701"/>
    <w:rsid w:val="00392A33"/>
    <w:rsid w:val="00395B69"/>
    <w:rsid w:val="003A399E"/>
    <w:rsid w:val="003D2F1D"/>
    <w:rsid w:val="003E0DC5"/>
    <w:rsid w:val="003E2D25"/>
    <w:rsid w:val="003F0D5C"/>
    <w:rsid w:val="0040359C"/>
    <w:rsid w:val="00433E03"/>
    <w:rsid w:val="00435BE6"/>
    <w:rsid w:val="004570F8"/>
    <w:rsid w:val="00463BC0"/>
    <w:rsid w:val="00466A2E"/>
    <w:rsid w:val="00466CD7"/>
    <w:rsid w:val="0049079D"/>
    <w:rsid w:val="00495DC7"/>
    <w:rsid w:val="00497A56"/>
    <w:rsid w:val="004B0A0E"/>
    <w:rsid w:val="004B38C4"/>
    <w:rsid w:val="004B49DE"/>
    <w:rsid w:val="004B6281"/>
    <w:rsid w:val="004C2379"/>
    <w:rsid w:val="004D024F"/>
    <w:rsid w:val="004D477D"/>
    <w:rsid w:val="005045B5"/>
    <w:rsid w:val="0053473A"/>
    <w:rsid w:val="00535F50"/>
    <w:rsid w:val="00541CF7"/>
    <w:rsid w:val="00543E6F"/>
    <w:rsid w:val="00545144"/>
    <w:rsid w:val="005453CA"/>
    <w:rsid w:val="00557974"/>
    <w:rsid w:val="005619E9"/>
    <w:rsid w:val="00563D70"/>
    <w:rsid w:val="00566CAF"/>
    <w:rsid w:val="00570231"/>
    <w:rsid w:val="005960AE"/>
    <w:rsid w:val="005A71EA"/>
    <w:rsid w:val="005B6356"/>
    <w:rsid w:val="005C3C9C"/>
    <w:rsid w:val="005C546A"/>
    <w:rsid w:val="005D5EC9"/>
    <w:rsid w:val="005F2E26"/>
    <w:rsid w:val="00603856"/>
    <w:rsid w:val="00605BBB"/>
    <w:rsid w:val="00611C7D"/>
    <w:rsid w:val="00620BCB"/>
    <w:rsid w:val="00620CAA"/>
    <w:rsid w:val="00621B7F"/>
    <w:rsid w:val="00623BE0"/>
    <w:rsid w:val="00624A61"/>
    <w:rsid w:val="00630D52"/>
    <w:rsid w:val="00633845"/>
    <w:rsid w:val="006377C5"/>
    <w:rsid w:val="00637A91"/>
    <w:rsid w:val="00655851"/>
    <w:rsid w:val="00661B3A"/>
    <w:rsid w:val="00673CB0"/>
    <w:rsid w:val="006779B0"/>
    <w:rsid w:val="006827EA"/>
    <w:rsid w:val="006928B4"/>
    <w:rsid w:val="00693053"/>
    <w:rsid w:val="00695568"/>
    <w:rsid w:val="006C4040"/>
    <w:rsid w:val="006F72B7"/>
    <w:rsid w:val="006F7DB7"/>
    <w:rsid w:val="007005CC"/>
    <w:rsid w:val="007325C8"/>
    <w:rsid w:val="0073449E"/>
    <w:rsid w:val="00735B34"/>
    <w:rsid w:val="00747F2C"/>
    <w:rsid w:val="0075615B"/>
    <w:rsid w:val="00763A88"/>
    <w:rsid w:val="00764D55"/>
    <w:rsid w:val="00770612"/>
    <w:rsid w:val="00797A50"/>
    <w:rsid w:val="007A2941"/>
    <w:rsid w:val="007A418F"/>
    <w:rsid w:val="007C2023"/>
    <w:rsid w:val="007C4D77"/>
    <w:rsid w:val="007C68FB"/>
    <w:rsid w:val="008225BF"/>
    <w:rsid w:val="008239DC"/>
    <w:rsid w:val="0083131B"/>
    <w:rsid w:val="00833D61"/>
    <w:rsid w:val="00846E3A"/>
    <w:rsid w:val="00854EA8"/>
    <w:rsid w:val="00864959"/>
    <w:rsid w:val="00865648"/>
    <w:rsid w:val="00865D45"/>
    <w:rsid w:val="00866C75"/>
    <w:rsid w:val="00867EAC"/>
    <w:rsid w:val="00876E4F"/>
    <w:rsid w:val="00885DF5"/>
    <w:rsid w:val="00891FCB"/>
    <w:rsid w:val="008B69CE"/>
    <w:rsid w:val="008C0486"/>
    <w:rsid w:val="008C4050"/>
    <w:rsid w:val="008C5E6D"/>
    <w:rsid w:val="009507A5"/>
    <w:rsid w:val="009558C1"/>
    <w:rsid w:val="0098447A"/>
    <w:rsid w:val="00986112"/>
    <w:rsid w:val="00991F04"/>
    <w:rsid w:val="00997B16"/>
    <w:rsid w:val="009A331B"/>
    <w:rsid w:val="009C5713"/>
    <w:rsid w:val="009C74CA"/>
    <w:rsid w:val="009E12A5"/>
    <w:rsid w:val="009E17E3"/>
    <w:rsid w:val="009F0A13"/>
    <w:rsid w:val="00A02628"/>
    <w:rsid w:val="00A02CA4"/>
    <w:rsid w:val="00A0776B"/>
    <w:rsid w:val="00A25D7E"/>
    <w:rsid w:val="00A35161"/>
    <w:rsid w:val="00A57183"/>
    <w:rsid w:val="00A65ECF"/>
    <w:rsid w:val="00A8339D"/>
    <w:rsid w:val="00A942A0"/>
    <w:rsid w:val="00AA03BF"/>
    <w:rsid w:val="00AB75D9"/>
    <w:rsid w:val="00AC74B6"/>
    <w:rsid w:val="00AD1F79"/>
    <w:rsid w:val="00AD50E3"/>
    <w:rsid w:val="00AF242B"/>
    <w:rsid w:val="00B029BE"/>
    <w:rsid w:val="00B06F5D"/>
    <w:rsid w:val="00B076AD"/>
    <w:rsid w:val="00B1208B"/>
    <w:rsid w:val="00B16A34"/>
    <w:rsid w:val="00B257DC"/>
    <w:rsid w:val="00B27902"/>
    <w:rsid w:val="00B30143"/>
    <w:rsid w:val="00B30F4B"/>
    <w:rsid w:val="00B43465"/>
    <w:rsid w:val="00B475BE"/>
    <w:rsid w:val="00B522E7"/>
    <w:rsid w:val="00B55A4E"/>
    <w:rsid w:val="00B66A01"/>
    <w:rsid w:val="00B723D6"/>
    <w:rsid w:val="00B90AB2"/>
    <w:rsid w:val="00B965D1"/>
    <w:rsid w:val="00BA59F9"/>
    <w:rsid w:val="00BB5432"/>
    <w:rsid w:val="00BB7A8D"/>
    <w:rsid w:val="00BC3A30"/>
    <w:rsid w:val="00BD27E5"/>
    <w:rsid w:val="00BD2949"/>
    <w:rsid w:val="00BD3A2B"/>
    <w:rsid w:val="00BF56CF"/>
    <w:rsid w:val="00BF60CA"/>
    <w:rsid w:val="00BF65BF"/>
    <w:rsid w:val="00C11A7B"/>
    <w:rsid w:val="00C15484"/>
    <w:rsid w:val="00C26D65"/>
    <w:rsid w:val="00C32B60"/>
    <w:rsid w:val="00C33742"/>
    <w:rsid w:val="00C40D19"/>
    <w:rsid w:val="00C42AB0"/>
    <w:rsid w:val="00C52CDF"/>
    <w:rsid w:val="00C606CD"/>
    <w:rsid w:val="00C61318"/>
    <w:rsid w:val="00C71B4D"/>
    <w:rsid w:val="00C81251"/>
    <w:rsid w:val="00C94083"/>
    <w:rsid w:val="00C97CF6"/>
    <w:rsid w:val="00CA1DC2"/>
    <w:rsid w:val="00CA3838"/>
    <w:rsid w:val="00CA6CE7"/>
    <w:rsid w:val="00CA7D10"/>
    <w:rsid w:val="00CD4C76"/>
    <w:rsid w:val="00CD5E31"/>
    <w:rsid w:val="00CD60B5"/>
    <w:rsid w:val="00D0076B"/>
    <w:rsid w:val="00D154DD"/>
    <w:rsid w:val="00D20424"/>
    <w:rsid w:val="00D211EA"/>
    <w:rsid w:val="00D31249"/>
    <w:rsid w:val="00D33ACF"/>
    <w:rsid w:val="00D71410"/>
    <w:rsid w:val="00D821C2"/>
    <w:rsid w:val="00D87FD5"/>
    <w:rsid w:val="00DA4868"/>
    <w:rsid w:val="00DA68A4"/>
    <w:rsid w:val="00DB02B4"/>
    <w:rsid w:val="00DB318D"/>
    <w:rsid w:val="00DB4865"/>
    <w:rsid w:val="00DC7EEE"/>
    <w:rsid w:val="00DD22FB"/>
    <w:rsid w:val="00DD700A"/>
    <w:rsid w:val="00DE20A2"/>
    <w:rsid w:val="00DE6E85"/>
    <w:rsid w:val="00DF242B"/>
    <w:rsid w:val="00DF37F7"/>
    <w:rsid w:val="00E12890"/>
    <w:rsid w:val="00E13556"/>
    <w:rsid w:val="00E13F5B"/>
    <w:rsid w:val="00E275B7"/>
    <w:rsid w:val="00E4543F"/>
    <w:rsid w:val="00E45886"/>
    <w:rsid w:val="00E46BAA"/>
    <w:rsid w:val="00E47426"/>
    <w:rsid w:val="00E5725B"/>
    <w:rsid w:val="00E579DC"/>
    <w:rsid w:val="00E57EFC"/>
    <w:rsid w:val="00E6791B"/>
    <w:rsid w:val="00E91F3A"/>
    <w:rsid w:val="00E94F44"/>
    <w:rsid w:val="00EA7A49"/>
    <w:rsid w:val="00EB2BB8"/>
    <w:rsid w:val="00EB6573"/>
    <w:rsid w:val="00EC7774"/>
    <w:rsid w:val="00EE2FA5"/>
    <w:rsid w:val="00EF2DFC"/>
    <w:rsid w:val="00EF6CB4"/>
    <w:rsid w:val="00F1787A"/>
    <w:rsid w:val="00F24666"/>
    <w:rsid w:val="00F26F1D"/>
    <w:rsid w:val="00F26F33"/>
    <w:rsid w:val="00F36E55"/>
    <w:rsid w:val="00F42E62"/>
    <w:rsid w:val="00F7281D"/>
    <w:rsid w:val="00F7592C"/>
    <w:rsid w:val="00FA30DB"/>
    <w:rsid w:val="00FA5964"/>
    <w:rsid w:val="00FB0B9B"/>
    <w:rsid w:val="00FB2B7E"/>
    <w:rsid w:val="00FB7D58"/>
    <w:rsid w:val="00FC1BBD"/>
    <w:rsid w:val="00FE086A"/>
    <w:rsid w:val="00FE192B"/>
    <w:rsid w:val="00FE6D2E"/>
    <w:rsid w:val="00FF0584"/>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8D"/>
    <w:pPr>
      <w:keepNext/>
      <w:keepLines/>
    </w:pPr>
  </w:style>
  <w:style w:type="paragraph" w:styleId="Heading1">
    <w:name w:val="heading 1"/>
    <w:basedOn w:val="Normal"/>
    <w:next w:val="Normal"/>
    <w:link w:val="Heading1Char"/>
    <w:uiPriority w:val="9"/>
    <w:qFormat/>
    <w:rsid w:val="00B522E7"/>
    <w:pPr>
      <w:spacing w:before="480" w:after="120"/>
      <w:jc w:val="both"/>
      <w:outlineLvl w:val="0"/>
    </w:pPr>
    <w:rPr>
      <w:rFonts w:ascii="Calibri Bold" w:eastAsiaTheme="majorEastAsia" w:hAnsi="Calibri Bold" w:cstheme="majorBidi"/>
      <w:b/>
      <w:bCs/>
      <w:caps/>
      <w:sz w:val="28"/>
      <w:szCs w:val="28"/>
    </w:rPr>
  </w:style>
  <w:style w:type="paragraph" w:styleId="Heading2">
    <w:name w:val="heading 2"/>
    <w:basedOn w:val="Normal"/>
    <w:next w:val="Normal"/>
    <w:link w:val="Heading2Char"/>
    <w:uiPriority w:val="9"/>
    <w:unhideWhenUsed/>
    <w:qFormat/>
    <w:rsid w:val="005C3C9C"/>
    <w:pPr>
      <w:spacing w:before="360" w:after="120"/>
      <w:jc w:val="both"/>
      <w:outlineLvl w:val="1"/>
    </w:pPr>
    <w:rPr>
      <w:rFonts w:eastAsiaTheme="majorEastAsia" w:cstheme="majorBidi"/>
      <w:b/>
      <w:bCs/>
      <w:caps/>
      <w:sz w:val="26"/>
      <w:szCs w:val="26"/>
    </w:rPr>
  </w:style>
  <w:style w:type="paragraph" w:styleId="Heading3">
    <w:name w:val="heading 3"/>
    <w:basedOn w:val="Normal"/>
    <w:next w:val="Normal"/>
    <w:link w:val="Heading3Char"/>
    <w:uiPriority w:val="9"/>
    <w:unhideWhenUsed/>
    <w:qFormat/>
    <w:rsid w:val="005C3C9C"/>
    <w:pPr>
      <w:spacing w:before="240" w:after="120"/>
      <w:jc w:val="both"/>
      <w:outlineLvl w:val="2"/>
    </w:pPr>
    <w:rPr>
      <w:rFonts w:eastAsiaTheme="majorEastAsia" w:cstheme="majorBidi"/>
      <w:b/>
      <w:bCs/>
      <w:sz w:val="24"/>
      <w:u w:val="single"/>
    </w:rPr>
  </w:style>
  <w:style w:type="paragraph" w:styleId="Heading4">
    <w:name w:val="heading 4"/>
    <w:basedOn w:val="Normal"/>
    <w:next w:val="Normal"/>
    <w:link w:val="Heading4Char"/>
    <w:uiPriority w:val="9"/>
    <w:unhideWhenUsed/>
    <w:qFormat/>
    <w:rsid w:val="005C3C9C"/>
    <w:pPr>
      <w:spacing w:before="240" w:after="120"/>
      <w:jc w:val="both"/>
      <w:outlineLvl w:val="3"/>
    </w:pPr>
    <w:rPr>
      <w:rFonts w:eastAsiaTheme="majorEastAsia"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5B6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95B69"/>
  </w:style>
  <w:style w:type="paragraph" w:styleId="Footer">
    <w:name w:val="footer"/>
    <w:basedOn w:val="Normal"/>
    <w:link w:val="FooterChar"/>
    <w:uiPriority w:val="99"/>
    <w:semiHidden/>
    <w:unhideWhenUsed/>
    <w:rsid w:val="00395B6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95B69"/>
  </w:style>
  <w:style w:type="paragraph" w:customStyle="1" w:styleId="InterofficeMemorandumheading">
    <w:name w:val="Interoffice Memorandum heading"/>
    <w:basedOn w:val="Normal"/>
    <w:uiPriority w:val="99"/>
    <w:rsid w:val="00395B69"/>
    <w:pPr>
      <w:tabs>
        <w:tab w:val="left" w:pos="6840"/>
        <w:tab w:val="left" w:pos="8368"/>
      </w:tabs>
      <w:spacing w:after="0" w:line="240" w:lineRule="auto"/>
    </w:pPr>
    <w:rPr>
      <w:rFonts w:ascii="Times New Roman" w:eastAsia="Times New Roman" w:hAnsi="Times New Roman" w:cs="Times New Roman"/>
      <w:b/>
      <w:noProof/>
      <w:szCs w:val="20"/>
      <w:lang w:val="en-US"/>
    </w:rPr>
  </w:style>
  <w:style w:type="character" w:styleId="CommentReference">
    <w:name w:val="annotation reference"/>
    <w:basedOn w:val="DefaultParagraphFont"/>
    <w:uiPriority w:val="99"/>
    <w:semiHidden/>
    <w:unhideWhenUsed/>
    <w:rsid w:val="00BF56CF"/>
    <w:rPr>
      <w:sz w:val="16"/>
      <w:szCs w:val="16"/>
    </w:rPr>
  </w:style>
  <w:style w:type="paragraph" w:styleId="CommentText">
    <w:name w:val="annotation text"/>
    <w:basedOn w:val="Normal"/>
    <w:link w:val="CommentTextChar"/>
    <w:uiPriority w:val="99"/>
    <w:semiHidden/>
    <w:unhideWhenUsed/>
    <w:rsid w:val="00BF56CF"/>
    <w:pPr>
      <w:spacing w:line="240" w:lineRule="auto"/>
    </w:pPr>
    <w:rPr>
      <w:sz w:val="20"/>
      <w:szCs w:val="20"/>
    </w:rPr>
  </w:style>
  <w:style w:type="character" w:customStyle="1" w:styleId="CommentTextChar">
    <w:name w:val="Comment Text Char"/>
    <w:basedOn w:val="DefaultParagraphFont"/>
    <w:link w:val="CommentText"/>
    <w:uiPriority w:val="99"/>
    <w:semiHidden/>
    <w:rsid w:val="00BF56CF"/>
    <w:rPr>
      <w:sz w:val="20"/>
      <w:szCs w:val="20"/>
    </w:rPr>
  </w:style>
  <w:style w:type="paragraph" w:styleId="CommentSubject">
    <w:name w:val="annotation subject"/>
    <w:basedOn w:val="CommentText"/>
    <w:next w:val="CommentText"/>
    <w:link w:val="CommentSubjectChar"/>
    <w:uiPriority w:val="99"/>
    <w:semiHidden/>
    <w:unhideWhenUsed/>
    <w:rsid w:val="00BF56CF"/>
    <w:rPr>
      <w:b/>
      <w:bCs/>
    </w:rPr>
  </w:style>
  <w:style w:type="character" w:customStyle="1" w:styleId="CommentSubjectChar">
    <w:name w:val="Comment Subject Char"/>
    <w:basedOn w:val="CommentTextChar"/>
    <w:link w:val="CommentSubject"/>
    <w:uiPriority w:val="99"/>
    <w:semiHidden/>
    <w:rsid w:val="00BF56CF"/>
    <w:rPr>
      <w:b/>
      <w:bCs/>
      <w:sz w:val="20"/>
      <w:szCs w:val="20"/>
    </w:rPr>
  </w:style>
  <w:style w:type="paragraph" w:styleId="Revision">
    <w:name w:val="Revision"/>
    <w:hidden/>
    <w:uiPriority w:val="99"/>
    <w:semiHidden/>
    <w:rsid w:val="00BF56CF"/>
    <w:pPr>
      <w:spacing w:after="0" w:line="240" w:lineRule="auto"/>
    </w:pPr>
  </w:style>
  <w:style w:type="paragraph" w:styleId="BalloonText">
    <w:name w:val="Balloon Text"/>
    <w:basedOn w:val="Normal"/>
    <w:link w:val="BalloonTextChar"/>
    <w:uiPriority w:val="99"/>
    <w:semiHidden/>
    <w:unhideWhenUsed/>
    <w:rsid w:val="00BF5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CF"/>
    <w:rPr>
      <w:rFonts w:ascii="Tahoma" w:hAnsi="Tahoma" w:cs="Tahoma"/>
      <w:sz w:val="16"/>
      <w:szCs w:val="16"/>
    </w:rPr>
  </w:style>
  <w:style w:type="paragraph" w:styleId="FootnoteText">
    <w:name w:val="footnote text"/>
    <w:basedOn w:val="Normal"/>
    <w:link w:val="FootnoteTextChar"/>
    <w:uiPriority w:val="99"/>
    <w:semiHidden/>
    <w:unhideWhenUsed/>
    <w:rsid w:val="00885D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DF5"/>
    <w:rPr>
      <w:sz w:val="20"/>
      <w:szCs w:val="20"/>
    </w:rPr>
  </w:style>
  <w:style w:type="character" w:styleId="FootnoteReference">
    <w:name w:val="footnote reference"/>
    <w:basedOn w:val="DefaultParagraphFont"/>
    <w:uiPriority w:val="99"/>
    <w:semiHidden/>
    <w:unhideWhenUsed/>
    <w:rsid w:val="00885DF5"/>
    <w:rPr>
      <w:vertAlign w:val="superscript"/>
    </w:rPr>
  </w:style>
  <w:style w:type="character" w:styleId="Hyperlink">
    <w:name w:val="Hyperlink"/>
    <w:basedOn w:val="DefaultParagraphFont"/>
    <w:uiPriority w:val="99"/>
    <w:unhideWhenUsed/>
    <w:rsid w:val="00E57EFC"/>
    <w:rPr>
      <w:color w:val="0563C1" w:themeColor="hyperlink"/>
      <w:u w:val="single"/>
    </w:rPr>
  </w:style>
  <w:style w:type="character" w:styleId="FollowedHyperlink">
    <w:name w:val="FollowedHyperlink"/>
    <w:basedOn w:val="DefaultParagraphFont"/>
    <w:uiPriority w:val="99"/>
    <w:semiHidden/>
    <w:unhideWhenUsed/>
    <w:rsid w:val="00E57EFC"/>
    <w:rPr>
      <w:color w:val="954F72" w:themeColor="followedHyperlink"/>
      <w:u w:val="single"/>
    </w:rPr>
  </w:style>
  <w:style w:type="paragraph" w:styleId="ListParagraph">
    <w:name w:val="List Paragraph"/>
    <w:basedOn w:val="Normal"/>
    <w:uiPriority w:val="34"/>
    <w:qFormat/>
    <w:rsid w:val="00EF6CB4"/>
    <w:pPr>
      <w:ind w:left="720"/>
      <w:contextualSpacing/>
    </w:pPr>
  </w:style>
  <w:style w:type="paragraph" w:customStyle="1" w:styleId="Default">
    <w:name w:val="Default"/>
    <w:rsid w:val="00FE6D2E"/>
    <w:pPr>
      <w:autoSpaceDE w:val="0"/>
      <w:autoSpaceDN w:val="0"/>
      <w:adjustRightInd w:val="0"/>
      <w:spacing w:after="0" w:line="240" w:lineRule="auto"/>
    </w:pPr>
    <w:rPr>
      <w:rFonts w:ascii="EUAlbertina" w:hAnsi="EUAlbertina" w:cs="EUAlbertina"/>
      <w:color w:val="000000"/>
      <w:sz w:val="24"/>
      <w:szCs w:val="24"/>
    </w:rPr>
  </w:style>
  <w:style w:type="character" w:customStyle="1" w:styleId="Heading1Char">
    <w:name w:val="Heading 1 Char"/>
    <w:basedOn w:val="DefaultParagraphFont"/>
    <w:link w:val="Heading1"/>
    <w:uiPriority w:val="9"/>
    <w:rsid w:val="00B522E7"/>
    <w:rPr>
      <w:rFonts w:ascii="Calibri Bold" w:eastAsiaTheme="majorEastAsia" w:hAnsi="Calibri Bold" w:cstheme="majorBidi"/>
      <w:b/>
      <w:bCs/>
      <w:caps/>
      <w:sz w:val="28"/>
      <w:szCs w:val="28"/>
    </w:rPr>
  </w:style>
  <w:style w:type="character" w:customStyle="1" w:styleId="Heading2Char">
    <w:name w:val="Heading 2 Char"/>
    <w:basedOn w:val="DefaultParagraphFont"/>
    <w:link w:val="Heading2"/>
    <w:uiPriority w:val="9"/>
    <w:rsid w:val="005C3C9C"/>
    <w:rPr>
      <w:rFonts w:eastAsiaTheme="majorEastAsia" w:cstheme="majorBidi"/>
      <w:b/>
      <w:bCs/>
      <w:caps/>
      <w:sz w:val="26"/>
      <w:szCs w:val="26"/>
    </w:rPr>
  </w:style>
  <w:style w:type="character" w:customStyle="1" w:styleId="Heading3Char">
    <w:name w:val="Heading 3 Char"/>
    <w:basedOn w:val="DefaultParagraphFont"/>
    <w:link w:val="Heading3"/>
    <w:uiPriority w:val="9"/>
    <w:rsid w:val="005C3C9C"/>
    <w:rPr>
      <w:rFonts w:eastAsiaTheme="majorEastAsia" w:cstheme="majorBidi"/>
      <w:b/>
      <w:bCs/>
      <w:sz w:val="24"/>
      <w:u w:val="single"/>
    </w:rPr>
  </w:style>
  <w:style w:type="character" w:customStyle="1" w:styleId="Heading4Char">
    <w:name w:val="Heading 4 Char"/>
    <w:basedOn w:val="DefaultParagraphFont"/>
    <w:link w:val="Heading4"/>
    <w:uiPriority w:val="9"/>
    <w:rsid w:val="005C3C9C"/>
    <w:rPr>
      <w:rFonts w:eastAsiaTheme="majorEastAsia" w:cstheme="majorBidi"/>
      <w:b/>
      <w:bCs/>
      <w:i/>
      <w:iCs/>
      <w:sz w:val="24"/>
    </w:rPr>
  </w:style>
  <w:style w:type="paragraph" w:styleId="Title">
    <w:name w:val="Title"/>
    <w:basedOn w:val="Normal"/>
    <w:next w:val="Normal"/>
    <w:link w:val="TitleChar"/>
    <w:uiPriority w:val="10"/>
    <w:qFormat/>
    <w:rsid w:val="00392A33"/>
    <w:pPr>
      <w:spacing w:before="1200" w:after="120" w:line="240" w:lineRule="auto"/>
      <w:contextualSpacing/>
      <w:jc w:val="center"/>
    </w:pPr>
    <w:rPr>
      <w:rFonts w:eastAsiaTheme="majorEastAsia" w:cstheme="majorBidi"/>
      <w:b/>
      <w:spacing w:val="5"/>
      <w:kern w:val="28"/>
      <w:sz w:val="48"/>
      <w:szCs w:val="52"/>
    </w:rPr>
  </w:style>
  <w:style w:type="character" w:customStyle="1" w:styleId="TitleChar">
    <w:name w:val="Title Char"/>
    <w:basedOn w:val="DefaultParagraphFont"/>
    <w:link w:val="Title"/>
    <w:uiPriority w:val="10"/>
    <w:rsid w:val="00392A33"/>
    <w:rPr>
      <w:rFonts w:eastAsiaTheme="majorEastAsia" w:cstheme="majorBidi"/>
      <w:b/>
      <w:spacing w:val="5"/>
      <w:kern w:val="28"/>
      <w:sz w:val="48"/>
      <w:szCs w:val="52"/>
    </w:rPr>
  </w:style>
  <w:style w:type="paragraph" w:styleId="TOC1">
    <w:name w:val="toc 1"/>
    <w:basedOn w:val="Normal"/>
    <w:next w:val="Normal"/>
    <w:autoRedefine/>
    <w:uiPriority w:val="39"/>
    <w:unhideWhenUsed/>
    <w:rsid w:val="007A418F"/>
    <w:pPr>
      <w:spacing w:after="100"/>
    </w:pPr>
  </w:style>
  <w:style w:type="paragraph" w:styleId="TOC2">
    <w:name w:val="toc 2"/>
    <w:basedOn w:val="Normal"/>
    <w:next w:val="Normal"/>
    <w:autoRedefine/>
    <w:uiPriority w:val="39"/>
    <w:unhideWhenUsed/>
    <w:rsid w:val="007A418F"/>
    <w:pPr>
      <w:spacing w:after="100"/>
      <w:ind w:left="220"/>
    </w:pPr>
  </w:style>
  <w:style w:type="paragraph" w:styleId="TOC3">
    <w:name w:val="toc 3"/>
    <w:basedOn w:val="Normal"/>
    <w:next w:val="Normal"/>
    <w:autoRedefine/>
    <w:uiPriority w:val="39"/>
    <w:unhideWhenUsed/>
    <w:rsid w:val="007A418F"/>
    <w:pPr>
      <w:spacing w:after="100"/>
      <w:ind w:left="440"/>
    </w:pPr>
  </w:style>
  <w:style w:type="paragraph" w:styleId="TOC4">
    <w:name w:val="toc 4"/>
    <w:basedOn w:val="Normal"/>
    <w:next w:val="Normal"/>
    <w:autoRedefine/>
    <w:uiPriority w:val="39"/>
    <w:unhideWhenUsed/>
    <w:rsid w:val="007A418F"/>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8D"/>
    <w:pPr>
      <w:keepNext/>
      <w:keepLines/>
    </w:pPr>
  </w:style>
  <w:style w:type="paragraph" w:styleId="Heading1">
    <w:name w:val="heading 1"/>
    <w:basedOn w:val="Normal"/>
    <w:next w:val="Normal"/>
    <w:link w:val="Heading1Char"/>
    <w:uiPriority w:val="9"/>
    <w:qFormat/>
    <w:rsid w:val="00B522E7"/>
    <w:pPr>
      <w:spacing w:before="480" w:after="120"/>
      <w:jc w:val="both"/>
      <w:outlineLvl w:val="0"/>
    </w:pPr>
    <w:rPr>
      <w:rFonts w:ascii="Calibri Bold" w:eastAsiaTheme="majorEastAsia" w:hAnsi="Calibri Bold" w:cstheme="majorBidi"/>
      <w:b/>
      <w:bCs/>
      <w:caps/>
      <w:sz w:val="28"/>
      <w:szCs w:val="28"/>
    </w:rPr>
  </w:style>
  <w:style w:type="paragraph" w:styleId="Heading2">
    <w:name w:val="heading 2"/>
    <w:basedOn w:val="Normal"/>
    <w:next w:val="Normal"/>
    <w:link w:val="Heading2Char"/>
    <w:uiPriority w:val="9"/>
    <w:unhideWhenUsed/>
    <w:qFormat/>
    <w:rsid w:val="005C3C9C"/>
    <w:pPr>
      <w:spacing w:before="360" w:after="120"/>
      <w:jc w:val="both"/>
      <w:outlineLvl w:val="1"/>
    </w:pPr>
    <w:rPr>
      <w:rFonts w:eastAsiaTheme="majorEastAsia" w:cstheme="majorBidi"/>
      <w:b/>
      <w:bCs/>
      <w:caps/>
      <w:sz w:val="26"/>
      <w:szCs w:val="26"/>
    </w:rPr>
  </w:style>
  <w:style w:type="paragraph" w:styleId="Heading3">
    <w:name w:val="heading 3"/>
    <w:basedOn w:val="Normal"/>
    <w:next w:val="Normal"/>
    <w:link w:val="Heading3Char"/>
    <w:uiPriority w:val="9"/>
    <w:unhideWhenUsed/>
    <w:qFormat/>
    <w:rsid w:val="005C3C9C"/>
    <w:pPr>
      <w:spacing w:before="240" w:after="120"/>
      <w:jc w:val="both"/>
      <w:outlineLvl w:val="2"/>
    </w:pPr>
    <w:rPr>
      <w:rFonts w:eastAsiaTheme="majorEastAsia" w:cstheme="majorBidi"/>
      <w:b/>
      <w:bCs/>
      <w:sz w:val="24"/>
      <w:u w:val="single"/>
    </w:rPr>
  </w:style>
  <w:style w:type="paragraph" w:styleId="Heading4">
    <w:name w:val="heading 4"/>
    <w:basedOn w:val="Normal"/>
    <w:next w:val="Normal"/>
    <w:link w:val="Heading4Char"/>
    <w:uiPriority w:val="9"/>
    <w:unhideWhenUsed/>
    <w:qFormat/>
    <w:rsid w:val="005C3C9C"/>
    <w:pPr>
      <w:spacing w:before="240" w:after="120"/>
      <w:jc w:val="both"/>
      <w:outlineLvl w:val="3"/>
    </w:pPr>
    <w:rPr>
      <w:rFonts w:eastAsiaTheme="majorEastAsia"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5B6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95B69"/>
  </w:style>
  <w:style w:type="paragraph" w:styleId="Footer">
    <w:name w:val="footer"/>
    <w:basedOn w:val="Normal"/>
    <w:link w:val="FooterChar"/>
    <w:uiPriority w:val="99"/>
    <w:semiHidden/>
    <w:unhideWhenUsed/>
    <w:rsid w:val="00395B6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95B69"/>
  </w:style>
  <w:style w:type="paragraph" w:customStyle="1" w:styleId="InterofficeMemorandumheading">
    <w:name w:val="Interoffice Memorandum heading"/>
    <w:basedOn w:val="Normal"/>
    <w:uiPriority w:val="99"/>
    <w:rsid w:val="00395B69"/>
    <w:pPr>
      <w:tabs>
        <w:tab w:val="left" w:pos="6840"/>
        <w:tab w:val="left" w:pos="8368"/>
      </w:tabs>
      <w:spacing w:after="0" w:line="240" w:lineRule="auto"/>
    </w:pPr>
    <w:rPr>
      <w:rFonts w:ascii="Times New Roman" w:eastAsia="Times New Roman" w:hAnsi="Times New Roman" w:cs="Times New Roman"/>
      <w:b/>
      <w:noProof/>
      <w:szCs w:val="20"/>
      <w:lang w:val="en-US"/>
    </w:rPr>
  </w:style>
  <w:style w:type="character" w:styleId="CommentReference">
    <w:name w:val="annotation reference"/>
    <w:basedOn w:val="DefaultParagraphFont"/>
    <w:uiPriority w:val="99"/>
    <w:semiHidden/>
    <w:unhideWhenUsed/>
    <w:rsid w:val="00BF56CF"/>
    <w:rPr>
      <w:sz w:val="16"/>
      <w:szCs w:val="16"/>
    </w:rPr>
  </w:style>
  <w:style w:type="paragraph" w:styleId="CommentText">
    <w:name w:val="annotation text"/>
    <w:basedOn w:val="Normal"/>
    <w:link w:val="CommentTextChar"/>
    <w:uiPriority w:val="99"/>
    <w:semiHidden/>
    <w:unhideWhenUsed/>
    <w:rsid w:val="00BF56CF"/>
    <w:pPr>
      <w:spacing w:line="240" w:lineRule="auto"/>
    </w:pPr>
    <w:rPr>
      <w:sz w:val="20"/>
      <w:szCs w:val="20"/>
    </w:rPr>
  </w:style>
  <w:style w:type="character" w:customStyle="1" w:styleId="CommentTextChar">
    <w:name w:val="Comment Text Char"/>
    <w:basedOn w:val="DefaultParagraphFont"/>
    <w:link w:val="CommentText"/>
    <w:uiPriority w:val="99"/>
    <w:semiHidden/>
    <w:rsid w:val="00BF56CF"/>
    <w:rPr>
      <w:sz w:val="20"/>
      <w:szCs w:val="20"/>
    </w:rPr>
  </w:style>
  <w:style w:type="paragraph" w:styleId="CommentSubject">
    <w:name w:val="annotation subject"/>
    <w:basedOn w:val="CommentText"/>
    <w:next w:val="CommentText"/>
    <w:link w:val="CommentSubjectChar"/>
    <w:uiPriority w:val="99"/>
    <w:semiHidden/>
    <w:unhideWhenUsed/>
    <w:rsid w:val="00BF56CF"/>
    <w:rPr>
      <w:b/>
      <w:bCs/>
    </w:rPr>
  </w:style>
  <w:style w:type="character" w:customStyle="1" w:styleId="CommentSubjectChar">
    <w:name w:val="Comment Subject Char"/>
    <w:basedOn w:val="CommentTextChar"/>
    <w:link w:val="CommentSubject"/>
    <w:uiPriority w:val="99"/>
    <w:semiHidden/>
    <w:rsid w:val="00BF56CF"/>
    <w:rPr>
      <w:b/>
      <w:bCs/>
      <w:sz w:val="20"/>
      <w:szCs w:val="20"/>
    </w:rPr>
  </w:style>
  <w:style w:type="paragraph" w:styleId="Revision">
    <w:name w:val="Revision"/>
    <w:hidden/>
    <w:uiPriority w:val="99"/>
    <w:semiHidden/>
    <w:rsid w:val="00BF56CF"/>
    <w:pPr>
      <w:spacing w:after="0" w:line="240" w:lineRule="auto"/>
    </w:pPr>
  </w:style>
  <w:style w:type="paragraph" w:styleId="BalloonText">
    <w:name w:val="Balloon Text"/>
    <w:basedOn w:val="Normal"/>
    <w:link w:val="BalloonTextChar"/>
    <w:uiPriority w:val="99"/>
    <w:semiHidden/>
    <w:unhideWhenUsed/>
    <w:rsid w:val="00BF5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CF"/>
    <w:rPr>
      <w:rFonts w:ascii="Tahoma" w:hAnsi="Tahoma" w:cs="Tahoma"/>
      <w:sz w:val="16"/>
      <w:szCs w:val="16"/>
    </w:rPr>
  </w:style>
  <w:style w:type="paragraph" w:styleId="FootnoteText">
    <w:name w:val="footnote text"/>
    <w:basedOn w:val="Normal"/>
    <w:link w:val="FootnoteTextChar"/>
    <w:uiPriority w:val="99"/>
    <w:semiHidden/>
    <w:unhideWhenUsed/>
    <w:rsid w:val="00885D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DF5"/>
    <w:rPr>
      <w:sz w:val="20"/>
      <w:szCs w:val="20"/>
    </w:rPr>
  </w:style>
  <w:style w:type="character" w:styleId="FootnoteReference">
    <w:name w:val="footnote reference"/>
    <w:basedOn w:val="DefaultParagraphFont"/>
    <w:uiPriority w:val="99"/>
    <w:semiHidden/>
    <w:unhideWhenUsed/>
    <w:rsid w:val="00885DF5"/>
    <w:rPr>
      <w:vertAlign w:val="superscript"/>
    </w:rPr>
  </w:style>
  <w:style w:type="character" w:styleId="Hyperlink">
    <w:name w:val="Hyperlink"/>
    <w:basedOn w:val="DefaultParagraphFont"/>
    <w:uiPriority w:val="99"/>
    <w:unhideWhenUsed/>
    <w:rsid w:val="00E57EFC"/>
    <w:rPr>
      <w:color w:val="0563C1" w:themeColor="hyperlink"/>
      <w:u w:val="single"/>
    </w:rPr>
  </w:style>
  <w:style w:type="character" w:styleId="FollowedHyperlink">
    <w:name w:val="FollowedHyperlink"/>
    <w:basedOn w:val="DefaultParagraphFont"/>
    <w:uiPriority w:val="99"/>
    <w:semiHidden/>
    <w:unhideWhenUsed/>
    <w:rsid w:val="00E57EFC"/>
    <w:rPr>
      <w:color w:val="954F72" w:themeColor="followedHyperlink"/>
      <w:u w:val="single"/>
    </w:rPr>
  </w:style>
  <w:style w:type="paragraph" w:styleId="ListParagraph">
    <w:name w:val="List Paragraph"/>
    <w:basedOn w:val="Normal"/>
    <w:uiPriority w:val="34"/>
    <w:qFormat/>
    <w:rsid w:val="00EF6CB4"/>
    <w:pPr>
      <w:ind w:left="720"/>
      <w:contextualSpacing/>
    </w:pPr>
  </w:style>
  <w:style w:type="paragraph" w:customStyle="1" w:styleId="Default">
    <w:name w:val="Default"/>
    <w:rsid w:val="00FE6D2E"/>
    <w:pPr>
      <w:autoSpaceDE w:val="0"/>
      <w:autoSpaceDN w:val="0"/>
      <w:adjustRightInd w:val="0"/>
      <w:spacing w:after="0" w:line="240" w:lineRule="auto"/>
    </w:pPr>
    <w:rPr>
      <w:rFonts w:ascii="EUAlbertina" w:hAnsi="EUAlbertina" w:cs="EUAlbertina"/>
      <w:color w:val="000000"/>
      <w:sz w:val="24"/>
      <w:szCs w:val="24"/>
    </w:rPr>
  </w:style>
  <w:style w:type="character" w:customStyle="1" w:styleId="Heading1Char">
    <w:name w:val="Heading 1 Char"/>
    <w:basedOn w:val="DefaultParagraphFont"/>
    <w:link w:val="Heading1"/>
    <w:uiPriority w:val="9"/>
    <w:rsid w:val="00B522E7"/>
    <w:rPr>
      <w:rFonts w:ascii="Calibri Bold" w:eastAsiaTheme="majorEastAsia" w:hAnsi="Calibri Bold" w:cstheme="majorBidi"/>
      <w:b/>
      <w:bCs/>
      <w:caps/>
      <w:sz w:val="28"/>
      <w:szCs w:val="28"/>
    </w:rPr>
  </w:style>
  <w:style w:type="character" w:customStyle="1" w:styleId="Heading2Char">
    <w:name w:val="Heading 2 Char"/>
    <w:basedOn w:val="DefaultParagraphFont"/>
    <w:link w:val="Heading2"/>
    <w:uiPriority w:val="9"/>
    <w:rsid w:val="005C3C9C"/>
    <w:rPr>
      <w:rFonts w:eastAsiaTheme="majorEastAsia" w:cstheme="majorBidi"/>
      <w:b/>
      <w:bCs/>
      <w:caps/>
      <w:sz w:val="26"/>
      <w:szCs w:val="26"/>
    </w:rPr>
  </w:style>
  <w:style w:type="character" w:customStyle="1" w:styleId="Heading3Char">
    <w:name w:val="Heading 3 Char"/>
    <w:basedOn w:val="DefaultParagraphFont"/>
    <w:link w:val="Heading3"/>
    <w:uiPriority w:val="9"/>
    <w:rsid w:val="005C3C9C"/>
    <w:rPr>
      <w:rFonts w:eastAsiaTheme="majorEastAsia" w:cstheme="majorBidi"/>
      <w:b/>
      <w:bCs/>
      <w:sz w:val="24"/>
      <w:u w:val="single"/>
    </w:rPr>
  </w:style>
  <w:style w:type="character" w:customStyle="1" w:styleId="Heading4Char">
    <w:name w:val="Heading 4 Char"/>
    <w:basedOn w:val="DefaultParagraphFont"/>
    <w:link w:val="Heading4"/>
    <w:uiPriority w:val="9"/>
    <w:rsid w:val="005C3C9C"/>
    <w:rPr>
      <w:rFonts w:eastAsiaTheme="majorEastAsia" w:cstheme="majorBidi"/>
      <w:b/>
      <w:bCs/>
      <w:i/>
      <w:iCs/>
      <w:sz w:val="24"/>
    </w:rPr>
  </w:style>
  <w:style w:type="paragraph" w:styleId="Title">
    <w:name w:val="Title"/>
    <w:basedOn w:val="Normal"/>
    <w:next w:val="Normal"/>
    <w:link w:val="TitleChar"/>
    <w:uiPriority w:val="10"/>
    <w:qFormat/>
    <w:rsid w:val="00392A33"/>
    <w:pPr>
      <w:spacing w:before="1200" w:after="120" w:line="240" w:lineRule="auto"/>
      <w:contextualSpacing/>
      <w:jc w:val="center"/>
    </w:pPr>
    <w:rPr>
      <w:rFonts w:eastAsiaTheme="majorEastAsia" w:cstheme="majorBidi"/>
      <w:b/>
      <w:spacing w:val="5"/>
      <w:kern w:val="28"/>
      <w:sz w:val="48"/>
      <w:szCs w:val="52"/>
    </w:rPr>
  </w:style>
  <w:style w:type="character" w:customStyle="1" w:styleId="TitleChar">
    <w:name w:val="Title Char"/>
    <w:basedOn w:val="DefaultParagraphFont"/>
    <w:link w:val="Title"/>
    <w:uiPriority w:val="10"/>
    <w:rsid w:val="00392A33"/>
    <w:rPr>
      <w:rFonts w:eastAsiaTheme="majorEastAsia" w:cstheme="majorBidi"/>
      <w:b/>
      <w:spacing w:val="5"/>
      <w:kern w:val="28"/>
      <w:sz w:val="48"/>
      <w:szCs w:val="52"/>
    </w:rPr>
  </w:style>
  <w:style w:type="paragraph" w:styleId="TOC1">
    <w:name w:val="toc 1"/>
    <w:basedOn w:val="Normal"/>
    <w:next w:val="Normal"/>
    <w:autoRedefine/>
    <w:uiPriority w:val="39"/>
    <w:unhideWhenUsed/>
    <w:rsid w:val="007A418F"/>
    <w:pPr>
      <w:spacing w:after="100"/>
    </w:pPr>
  </w:style>
  <w:style w:type="paragraph" w:styleId="TOC2">
    <w:name w:val="toc 2"/>
    <w:basedOn w:val="Normal"/>
    <w:next w:val="Normal"/>
    <w:autoRedefine/>
    <w:uiPriority w:val="39"/>
    <w:unhideWhenUsed/>
    <w:rsid w:val="007A418F"/>
    <w:pPr>
      <w:spacing w:after="100"/>
      <w:ind w:left="220"/>
    </w:pPr>
  </w:style>
  <w:style w:type="paragraph" w:styleId="TOC3">
    <w:name w:val="toc 3"/>
    <w:basedOn w:val="Normal"/>
    <w:next w:val="Normal"/>
    <w:autoRedefine/>
    <w:uiPriority w:val="39"/>
    <w:unhideWhenUsed/>
    <w:rsid w:val="007A418F"/>
    <w:pPr>
      <w:spacing w:after="100"/>
      <w:ind w:left="440"/>
    </w:pPr>
  </w:style>
  <w:style w:type="paragraph" w:styleId="TOC4">
    <w:name w:val="toc 4"/>
    <w:basedOn w:val="Normal"/>
    <w:next w:val="Normal"/>
    <w:autoRedefine/>
    <w:uiPriority w:val="39"/>
    <w:unhideWhenUsed/>
    <w:rsid w:val="007A418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gister.consilium.europa.eu/doc/srv?l=EN&amp;f=ST%2014538%202008%20REV%204" TargetMode="External"/><Relationship Id="rId1" Type="http://schemas.openxmlformats.org/officeDocument/2006/relationships/hyperlink" Target="http://www.mju.gov.si/si/novinarsko_sredisce/novica/article/1328/6043/d070f5ff31456e0a0c67dd689ff28be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B59BA-4767-437B-BDBD-C7D0533C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8367</Words>
  <Characters>47696</Characters>
  <Application>Microsoft Office Word</Application>
  <DocSecurity>0</DocSecurity>
  <Lines>397</Lines>
  <Paragraphs>111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55952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dc:creator>
  <cp:lastModifiedBy>Mladen Alempijevic</cp:lastModifiedBy>
  <cp:revision>2</cp:revision>
  <dcterms:created xsi:type="dcterms:W3CDTF">2015-07-07T10:55:00Z</dcterms:created>
  <dcterms:modified xsi:type="dcterms:W3CDTF">2015-07-07T10:55:00Z</dcterms:modified>
</cp:coreProperties>
</file>