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2AD" w:rsidRDefault="001C62AD">
      <w:pPr>
        <w:rPr>
          <w:rFonts w:ascii="Times New Roman" w:hAnsi="Times New Roman" w:cs="Times New Roman"/>
          <w:sz w:val="24"/>
          <w:szCs w:val="24"/>
        </w:rPr>
      </w:pPr>
    </w:p>
    <w:p w:rsidR="00697E66" w:rsidRPr="00523A8B" w:rsidRDefault="00697E66">
      <w:pPr>
        <w:rPr>
          <w:rFonts w:ascii="Times New Roman" w:hAnsi="Times New Roman" w:cs="Times New Roman"/>
          <w:sz w:val="24"/>
          <w:szCs w:val="24"/>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r>
        <w:rPr>
          <w:rFonts w:ascii="Times New Roman" w:eastAsia="Times New Roman" w:hAnsi="Times New Roman" w:cs="Times New Roman"/>
          <w:b/>
          <w:noProof/>
          <w:sz w:val="28"/>
          <w:szCs w:val="20"/>
        </w:rPr>
        <w:drawing>
          <wp:inline distT="0" distB="0" distL="0" distR="0">
            <wp:extent cx="1276350" cy="8096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6350" cy="809625"/>
                    </a:xfrm>
                    <a:prstGeom prst="rect">
                      <a:avLst/>
                    </a:prstGeom>
                    <a:noFill/>
                  </pic:spPr>
                </pic:pic>
              </a:graphicData>
            </a:graphic>
          </wp:inline>
        </w:drawing>
      </w:r>
      <w:r>
        <w:rPr>
          <w:rFonts w:ascii="Times New Roman" w:eastAsia="Times New Roman" w:hAnsi="Times New Roman" w:cs="Times New Roman"/>
          <w:b/>
          <w:sz w:val="28"/>
          <w:szCs w:val="20"/>
          <w:lang w:val="ru-RU"/>
        </w:rPr>
        <w:br/>
      </w: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r w:rsidRPr="000C129C">
        <w:rPr>
          <w:rFonts w:ascii="Times New Roman" w:eastAsia="Times New Roman" w:hAnsi="Times New Roman" w:cs="Times New Roman"/>
          <w:b/>
          <w:sz w:val="28"/>
          <w:szCs w:val="20"/>
          <w:lang w:val="ru-RU"/>
        </w:rPr>
        <w:t>РЕПУБЛИКА СРБИЈА</w:t>
      </w: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r w:rsidRPr="000C129C">
        <w:rPr>
          <w:rFonts w:ascii="Times New Roman" w:eastAsia="Times New Roman" w:hAnsi="Times New Roman" w:cs="Times New Roman"/>
          <w:b/>
          <w:sz w:val="28"/>
          <w:szCs w:val="20"/>
          <w:lang w:val="ru-RU"/>
        </w:rPr>
        <w:t>УПРАВА ЗА ЈАВНЕ НАБАВКЕ</w:t>
      </w: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sr-Latn-CS"/>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sr-Latn-CS"/>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sr-Latn-CS"/>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sr-Latn-CS"/>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sr-Latn-CS"/>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ru-RU"/>
        </w:rPr>
      </w:pPr>
    </w:p>
    <w:p w:rsidR="000C129C" w:rsidRPr="009C6C57" w:rsidRDefault="000C129C" w:rsidP="000C129C">
      <w:pPr>
        <w:spacing w:after="0" w:line="240" w:lineRule="auto"/>
        <w:jc w:val="center"/>
        <w:rPr>
          <w:rFonts w:ascii="Times New Roman" w:eastAsia="Times New Roman" w:hAnsi="Times New Roman" w:cs="Times New Roman"/>
          <w:b/>
          <w:sz w:val="28"/>
          <w:szCs w:val="28"/>
          <w:lang w:val="ru-RU"/>
        </w:rPr>
      </w:pPr>
      <w:r w:rsidRPr="009C6C57">
        <w:rPr>
          <w:rFonts w:ascii="Times New Roman" w:eastAsia="Times New Roman" w:hAnsi="Times New Roman" w:cs="Times New Roman"/>
          <w:b/>
          <w:sz w:val="28"/>
          <w:szCs w:val="28"/>
          <w:lang w:val="ru-RU"/>
        </w:rPr>
        <w:t xml:space="preserve">ИЗВЕШТАЈ О ЈАВНИМ НАБАВКАМА У РЕПУБЛИЦИ СРБИЈИ </w:t>
      </w:r>
    </w:p>
    <w:p w:rsidR="000C129C" w:rsidRPr="009C6C57" w:rsidRDefault="00E633FD" w:rsidP="000C129C">
      <w:pPr>
        <w:spacing w:after="0" w:line="240" w:lineRule="auto"/>
        <w:jc w:val="center"/>
        <w:rPr>
          <w:rFonts w:ascii="Times New Roman" w:eastAsia="Times New Roman" w:hAnsi="Times New Roman" w:cs="Times New Roman"/>
          <w:b/>
          <w:color w:val="000000"/>
          <w:sz w:val="28"/>
          <w:szCs w:val="28"/>
        </w:rPr>
      </w:pPr>
      <w:r w:rsidRPr="009C6C57">
        <w:rPr>
          <w:rFonts w:ascii="Times New Roman" w:eastAsia="Times New Roman" w:hAnsi="Times New Roman" w:cs="Times New Roman"/>
          <w:b/>
          <w:color w:val="000000"/>
          <w:sz w:val="28"/>
          <w:szCs w:val="28"/>
          <w:lang w:val="ru-RU"/>
        </w:rPr>
        <w:t>ЗА</w:t>
      </w:r>
      <w:r w:rsidR="00083E4A" w:rsidRPr="009C6C57">
        <w:rPr>
          <w:rFonts w:ascii="Times New Roman" w:eastAsia="Times New Roman" w:hAnsi="Times New Roman" w:cs="Times New Roman"/>
          <w:b/>
          <w:color w:val="000000"/>
          <w:sz w:val="28"/>
          <w:szCs w:val="28"/>
          <w:lang w:val="en-US"/>
        </w:rPr>
        <w:t xml:space="preserve"> </w:t>
      </w:r>
      <w:r w:rsidR="00CC37A3">
        <w:rPr>
          <w:rFonts w:ascii="Times New Roman" w:eastAsia="Times New Roman" w:hAnsi="Times New Roman" w:cs="Times New Roman"/>
          <w:b/>
          <w:color w:val="000000"/>
          <w:sz w:val="28"/>
          <w:szCs w:val="28"/>
        </w:rPr>
        <w:t>ПЕРИОД 1.1.2014 – 30.</w:t>
      </w:r>
      <w:r w:rsidR="00FB6004" w:rsidRPr="009C6C57">
        <w:rPr>
          <w:rFonts w:ascii="Times New Roman" w:eastAsia="Times New Roman" w:hAnsi="Times New Roman" w:cs="Times New Roman"/>
          <w:b/>
          <w:color w:val="000000"/>
          <w:sz w:val="28"/>
          <w:szCs w:val="28"/>
        </w:rPr>
        <w:t>6</w:t>
      </w:r>
      <w:r w:rsidR="00824F97" w:rsidRPr="009C6C57">
        <w:rPr>
          <w:rFonts w:ascii="Times New Roman" w:eastAsia="Times New Roman" w:hAnsi="Times New Roman" w:cs="Times New Roman"/>
          <w:b/>
          <w:color w:val="000000"/>
          <w:sz w:val="28"/>
          <w:szCs w:val="28"/>
        </w:rPr>
        <w:t>.</w:t>
      </w:r>
      <w:r w:rsidR="00FB6004" w:rsidRPr="009C6C57">
        <w:rPr>
          <w:rFonts w:ascii="Times New Roman" w:eastAsia="Times New Roman" w:hAnsi="Times New Roman" w:cs="Times New Roman"/>
          <w:b/>
          <w:color w:val="000000"/>
          <w:sz w:val="28"/>
          <w:szCs w:val="28"/>
          <w:lang w:val="ru-RU"/>
        </w:rPr>
        <w:t>2014</w:t>
      </w:r>
      <w:r w:rsidR="000C129C" w:rsidRPr="009C6C57">
        <w:rPr>
          <w:rFonts w:ascii="Times New Roman" w:eastAsia="Times New Roman" w:hAnsi="Times New Roman" w:cs="Times New Roman"/>
          <w:b/>
          <w:color w:val="000000"/>
          <w:sz w:val="28"/>
          <w:szCs w:val="28"/>
          <w:lang w:val="ru-RU"/>
        </w:rPr>
        <w:t>. ГОДИНЕ</w:t>
      </w:r>
    </w:p>
    <w:p w:rsidR="000C129C" w:rsidRPr="000C129C" w:rsidRDefault="000C129C" w:rsidP="000C129C">
      <w:pPr>
        <w:spacing w:after="0" w:line="240" w:lineRule="auto"/>
        <w:rPr>
          <w:rFonts w:ascii="Times New Roman" w:eastAsia="Times New Roman" w:hAnsi="Times New Roman" w:cs="Times New Roman"/>
          <w:b/>
          <w:sz w:val="28"/>
          <w:szCs w:val="20"/>
          <w:lang w:val="ru-RU"/>
        </w:rPr>
      </w:pPr>
    </w:p>
    <w:p w:rsidR="000C129C" w:rsidRPr="000C129C" w:rsidRDefault="000C129C" w:rsidP="000C129C">
      <w:pPr>
        <w:spacing w:after="0" w:line="240" w:lineRule="auto"/>
        <w:rPr>
          <w:rFonts w:ascii="Times New Roman" w:eastAsia="Times New Roman" w:hAnsi="Times New Roman" w:cs="Times New Roman"/>
          <w:b/>
          <w:sz w:val="28"/>
          <w:szCs w:val="20"/>
          <w:lang w:val="ru-RU"/>
        </w:rPr>
      </w:pPr>
    </w:p>
    <w:p w:rsidR="000C129C" w:rsidRPr="000C129C" w:rsidRDefault="000C129C" w:rsidP="000C129C">
      <w:pPr>
        <w:spacing w:after="0" w:line="240" w:lineRule="auto"/>
        <w:rPr>
          <w:rFonts w:ascii="Times New Roman" w:eastAsia="Times New Roman" w:hAnsi="Times New Roman" w:cs="Times New Roman"/>
          <w:b/>
          <w:sz w:val="28"/>
          <w:szCs w:val="20"/>
          <w:lang w:val="ru-RU"/>
        </w:rPr>
      </w:pPr>
    </w:p>
    <w:p w:rsidR="000C129C" w:rsidRPr="000C129C" w:rsidRDefault="000C129C" w:rsidP="000C129C">
      <w:pPr>
        <w:spacing w:after="0" w:line="240" w:lineRule="auto"/>
        <w:rPr>
          <w:rFonts w:ascii="Times New Roman" w:eastAsia="Times New Roman" w:hAnsi="Times New Roman" w:cs="Times New Roman"/>
          <w:b/>
          <w:sz w:val="28"/>
          <w:szCs w:val="20"/>
          <w:lang w:val="ru-RU"/>
        </w:rPr>
      </w:pPr>
    </w:p>
    <w:p w:rsidR="000C129C" w:rsidRPr="000C129C" w:rsidRDefault="000C129C" w:rsidP="000C129C">
      <w:pPr>
        <w:spacing w:after="0" w:line="240" w:lineRule="auto"/>
        <w:rPr>
          <w:rFonts w:ascii="Times New Roman" w:eastAsia="Times New Roman" w:hAnsi="Times New Roman" w:cs="Times New Roman"/>
          <w:b/>
          <w:sz w:val="28"/>
          <w:szCs w:val="20"/>
          <w:lang w:val="ru-RU"/>
        </w:rPr>
      </w:pPr>
    </w:p>
    <w:p w:rsidR="000C129C" w:rsidRPr="000C129C" w:rsidRDefault="000C129C" w:rsidP="000C129C">
      <w:pPr>
        <w:spacing w:after="0" w:line="240" w:lineRule="auto"/>
        <w:rPr>
          <w:rFonts w:ascii="Times New Roman" w:eastAsia="Times New Roman" w:hAnsi="Times New Roman" w:cs="Times New Roman"/>
          <w:b/>
          <w:sz w:val="28"/>
          <w:szCs w:val="20"/>
          <w:lang w:val="ru-RU"/>
        </w:rPr>
      </w:pPr>
    </w:p>
    <w:p w:rsidR="000C129C" w:rsidRPr="000C129C" w:rsidRDefault="000C129C" w:rsidP="000C129C">
      <w:pPr>
        <w:spacing w:after="0" w:line="240" w:lineRule="auto"/>
        <w:rPr>
          <w:rFonts w:ascii="Times New Roman" w:eastAsia="Times New Roman" w:hAnsi="Times New Roman" w:cs="Times New Roman"/>
          <w:b/>
          <w:sz w:val="28"/>
          <w:szCs w:val="20"/>
          <w:lang w:val="ru-RU"/>
        </w:rPr>
      </w:pPr>
    </w:p>
    <w:p w:rsidR="000C129C" w:rsidRPr="000C129C" w:rsidRDefault="000C129C" w:rsidP="000C129C">
      <w:pPr>
        <w:spacing w:after="0" w:line="240" w:lineRule="auto"/>
        <w:rPr>
          <w:rFonts w:ascii="Times New Roman" w:eastAsia="Times New Roman" w:hAnsi="Times New Roman" w:cs="Times New Roman"/>
          <w:b/>
          <w:sz w:val="28"/>
          <w:szCs w:val="20"/>
          <w:lang w:val="ru-RU"/>
        </w:rPr>
      </w:pPr>
    </w:p>
    <w:p w:rsidR="000C129C" w:rsidRPr="000C129C" w:rsidRDefault="000C129C" w:rsidP="000C129C">
      <w:pPr>
        <w:spacing w:after="0" w:line="240" w:lineRule="auto"/>
        <w:rPr>
          <w:rFonts w:ascii="Times New Roman" w:eastAsia="Times New Roman" w:hAnsi="Times New Roman" w:cs="Times New Roman"/>
          <w:b/>
          <w:sz w:val="28"/>
          <w:szCs w:val="20"/>
          <w:lang w:val="sr-Latn-CS"/>
        </w:rPr>
      </w:pPr>
    </w:p>
    <w:p w:rsidR="000C129C" w:rsidRPr="000C129C" w:rsidRDefault="000C129C" w:rsidP="000C129C">
      <w:pPr>
        <w:spacing w:after="0" w:line="240" w:lineRule="auto"/>
        <w:jc w:val="center"/>
        <w:rPr>
          <w:rFonts w:ascii="Times New Roman" w:eastAsia="Times New Roman" w:hAnsi="Times New Roman" w:cs="Times New Roman"/>
          <w:b/>
          <w:sz w:val="28"/>
          <w:szCs w:val="20"/>
          <w:lang w:val="sr-Latn-CS"/>
        </w:rPr>
      </w:pPr>
    </w:p>
    <w:p w:rsidR="000C129C" w:rsidRPr="001275D0" w:rsidRDefault="000C129C" w:rsidP="000C129C">
      <w:pPr>
        <w:spacing w:after="0" w:line="240" w:lineRule="auto"/>
        <w:rPr>
          <w:rFonts w:ascii="Times New Roman" w:eastAsia="Times New Roman" w:hAnsi="Times New Roman" w:cs="Times New Roman"/>
          <w:b/>
          <w:sz w:val="28"/>
          <w:szCs w:val="20"/>
        </w:rPr>
      </w:pPr>
    </w:p>
    <w:p w:rsidR="000C129C" w:rsidRPr="000C129C" w:rsidRDefault="000C129C" w:rsidP="000C129C">
      <w:pPr>
        <w:spacing w:after="0" w:line="240" w:lineRule="auto"/>
        <w:rPr>
          <w:rFonts w:ascii="Times New Roman" w:eastAsia="Times New Roman" w:hAnsi="Times New Roman" w:cs="Times New Roman"/>
          <w:b/>
          <w:sz w:val="28"/>
          <w:szCs w:val="20"/>
          <w:lang w:val="ru-RU"/>
        </w:rPr>
      </w:pPr>
    </w:p>
    <w:p w:rsidR="000C129C" w:rsidRPr="000C129C" w:rsidRDefault="000C129C" w:rsidP="000C129C">
      <w:pPr>
        <w:spacing w:after="0" w:line="240" w:lineRule="auto"/>
        <w:rPr>
          <w:rFonts w:ascii="Times New Roman" w:eastAsia="Times New Roman" w:hAnsi="Times New Roman" w:cs="Times New Roman"/>
          <w:b/>
          <w:sz w:val="28"/>
          <w:szCs w:val="20"/>
          <w:lang w:val="ru-RU"/>
        </w:rPr>
      </w:pPr>
    </w:p>
    <w:p w:rsidR="000C129C" w:rsidRPr="000C129C" w:rsidRDefault="000C129C" w:rsidP="000C129C">
      <w:pPr>
        <w:spacing w:after="0" w:line="240" w:lineRule="auto"/>
        <w:rPr>
          <w:rFonts w:ascii="Times New Roman" w:eastAsia="Times New Roman" w:hAnsi="Times New Roman" w:cs="Times New Roman"/>
          <w:b/>
          <w:sz w:val="28"/>
          <w:szCs w:val="20"/>
          <w:lang w:val="sr-Latn-CS"/>
        </w:rPr>
      </w:pPr>
    </w:p>
    <w:p w:rsidR="000C129C" w:rsidRPr="000C129C" w:rsidRDefault="000C129C" w:rsidP="000C129C">
      <w:pPr>
        <w:spacing w:after="0" w:line="240" w:lineRule="auto"/>
        <w:jc w:val="center"/>
        <w:rPr>
          <w:rFonts w:ascii="Times New Roman" w:eastAsia="Times New Roman" w:hAnsi="Times New Roman" w:cs="Times New Roman"/>
          <w:b/>
          <w:sz w:val="28"/>
          <w:szCs w:val="28"/>
          <w:lang w:val="ru-RU"/>
        </w:rPr>
      </w:pPr>
      <w:r w:rsidRPr="000C129C">
        <w:rPr>
          <w:rFonts w:ascii="Times New Roman" w:eastAsia="Times New Roman" w:hAnsi="Times New Roman" w:cs="Times New Roman"/>
          <w:b/>
          <w:sz w:val="28"/>
          <w:szCs w:val="28"/>
          <w:lang w:val="sr-Cyrl-CS"/>
        </w:rPr>
        <w:t>Београд</w:t>
      </w:r>
    </w:p>
    <w:p w:rsidR="000C129C" w:rsidRPr="000C129C" w:rsidRDefault="00387851" w:rsidP="000C129C">
      <w:pPr>
        <w:spacing w:after="0" w:line="240" w:lineRule="auto"/>
        <w:jc w:val="center"/>
        <w:rPr>
          <w:rFonts w:ascii="Times New Roman" w:eastAsia="Times New Roman" w:hAnsi="Times New Roman" w:cs="Times New Roman"/>
          <w:b/>
          <w:sz w:val="28"/>
          <w:szCs w:val="28"/>
          <w:lang w:val="sr-Cyrl-CS"/>
        </w:rPr>
      </w:pPr>
      <w:r>
        <w:rPr>
          <w:rFonts w:ascii="Times New Roman" w:eastAsia="Times New Roman" w:hAnsi="Times New Roman" w:cs="Times New Roman"/>
          <w:b/>
          <w:sz w:val="28"/>
          <w:szCs w:val="28"/>
          <w:lang w:val="sr-Cyrl-RS"/>
        </w:rPr>
        <w:t>5</w:t>
      </w:r>
      <w:r w:rsidR="00441219">
        <w:rPr>
          <w:rFonts w:ascii="Times New Roman" w:eastAsia="Times New Roman" w:hAnsi="Times New Roman" w:cs="Times New Roman"/>
          <w:b/>
          <w:sz w:val="28"/>
          <w:szCs w:val="28"/>
          <w:lang w:val="ru-RU"/>
        </w:rPr>
        <w:t xml:space="preserve">. </w:t>
      </w:r>
      <w:r w:rsidR="008E372F">
        <w:rPr>
          <w:rFonts w:ascii="Times New Roman" w:eastAsia="Times New Roman" w:hAnsi="Times New Roman" w:cs="Times New Roman"/>
          <w:b/>
          <w:sz w:val="28"/>
          <w:szCs w:val="28"/>
          <w:lang w:val="sr-Cyrl-RS"/>
        </w:rPr>
        <w:t>септембар</w:t>
      </w:r>
      <w:r w:rsidR="001B245E">
        <w:rPr>
          <w:rFonts w:ascii="Times New Roman" w:eastAsia="Times New Roman" w:hAnsi="Times New Roman" w:cs="Times New Roman"/>
          <w:b/>
          <w:sz w:val="28"/>
          <w:szCs w:val="28"/>
          <w:lang w:val="ru-RU"/>
        </w:rPr>
        <w:t xml:space="preserve"> 2014</w:t>
      </w:r>
      <w:r w:rsidR="000C129C">
        <w:rPr>
          <w:rFonts w:ascii="Times New Roman" w:eastAsia="Times New Roman" w:hAnsi="Times New Roman" w:cs="Times New Roman"/>
          <w:b/>
          <w:sz w:val="28"/>
          <w:szCs w:val="28"/>
          <w:lang w:val="ru-RU"/>
        </w:rPr>
        <w:t>. године</w:t>
      </w:r>
    </w:p>
    <w:p w:rsidR="000C129C" w:rsidRDefault="000C129C">
      <w:pPr>
        <w:rPr>
          <w:rFonts w:ascii="Times New Roman" w:hAnsi="Times New Roman" w:cs="Times New Roman"/>
          <w:sz w:val="24"/>
          <w:szCs w:val="24"/>
        </w:rPr>
      </w:pPr>
    </w:p>
    <w:p w:rsidR="00261373" w:rsidRDefault="00261373">
      <w:pPr>
        <w:rPr>
          <w:rFonts w:ascii="Times New Roman" w:hAnsi="Times New Roman" w:cs="Times New Roman"/>
          <w:sz w:val="24"/>
          <w:szCs w:val="24"/>
        </w:rPr>
      </w:pPr>
    </w:p>
    <w:p w:rsidR="00725059" w:rsidRPr="00CC37A3" w:rsidRDefault="00725059">
      <w:pPr>
        <w:rPr>
          <w:rFonts w:ascii="Times New Roman" w:hAnsi="Times New Roman" w:cs="Times New Roman"/>
          <w:sz w:val="24"/>
          <w:szCs w:val="24"/>
          <w:lang w:val="sr-Cyrl-RS"/>
        </w:rPr>
      </w:pPr>
    </w:p>
    <w:p w:rsidR="003B4846" w:rsidRPr="003B4846" w:rsidRDefault="003B4846" w:rsidP="003B4846">
      <w:pPr>
        <w:contextualSpacing/>
        <w:rPr>
          <w:rFonts w:ascii="Times New Roman" w:eastAsia="Calibri" w:hAnsi="Times New Roman" w:cs="Times New Roman"/>
          <w:b/>
          <w:sz w:val="24"/>
          <w:szCs w:val="24"/>
        </w:rPr>
      </w:pPr>
      <w:r w:rsidRPr="003B4846">
        <w:rPr>
          <w:rFonts w:ascii="Times New Roman" w:eastAsia="Calibri" w:hAnsi="Times New Roman" w:cs="Times New Roman"/>
          <w:b/>
          <w:sz w:val="24"/>
          <w:szCs w:val="24"/>
        </w:rPr>
        <w:lastRenderedPageBreak/>
        <w:t>УВОД</w:t>
      </w:r>
    </w:p>
    <w:p w:rsidR="003B4846" w:rsidRPr="003B4846" w:rsidRDefault="003B4846" w:rsidP="003B4846">
      <w:pPr>
        <w:ind w:left="720"/>
        <w:contextualSpacing/>
        <w:rPr>
          <w:rFonts w:ascii="Times New Roman" w:eastAsia="Calibri" w:hAnsi="Times New Roman" w:cs="Times New Roman"/>
          <w:b/>
          <w:sz w:val="24"/>
          <w:szCs w:val="24"/>
        </w:rPr>
      </w:pPr>
    </w:p>
    <w:p w:rsidR="003B4846" w:rsidRPr="003B4846" w:rsidRDefault="003B4846" w:rsidP="003B4846">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Законом о јавним набавкама („Службени гласник РС“, бр. 124/12)</w:t>
      </w:r>
      <w:r w:rsidR="004214E4">
        <w:rPr>
          <w:rFonts w:ascii="Times New Roman" w:eastAsia="Calibri" w:hAnsi="Times New Roman" w:cs="Times New Roman"/>
          <w:sz w:val="24"/>
          <w:szCs w:val="24"/>
          <w:lang w:val="sr-Cyrl-RS"/>
        </w:rPr>
        <w:t xml:space="preserve">, </w:t>
      </w:r>
      <w:r w:rsidR="0017767B">
        <w:rPr>
          <w:rFonts w:ascii="Times New Roman" w:eastAsia="Calibri" w:hAnsi="Times New Roman" w:cs="Times New Roman"/>
          <w:sz w:val="24"/>
          <w:szCs w:val="24"/>
          <w:lang w:val="sr-Cyrl-RS"/>
        </w:rPr>
        <w:t>(Закон)</w:t>
      </w:r>
      <w:r w:rsidRPr="003B4846">
        <w:rPr>
          <w:rFonts w:ascii="Times New Roman" w:eastAsia="Calibri" w:hAnsi="Times New Roman" w:cs="Times New Roman"/>
          <w:sz w:val="24"/>
          <w:szCs w:val="24"/>
        </w:rPr>
        <w:t xml:space="preserve"> прописано је да су наручиоци дужни да прикупљају и евидентирају податке о јавним набавкама и да своје </w:t>
      </w:r>
      <w:r w:rsidR="00F155EE">
        <w:rPr>
          <w:rFonts w:ascii="Times New Roman" w:eastAsia="Calibri" w:hAnsi="Times New Roman" w:cs="Times New Roman"/>
          <w:sz w:val="24"/>
          <w:szCs w:val="24"/>
        </w:rPr>
        <w:t xml:space="preserve">кварталне </w:t>
      </w:r>
      <w:r w:rsidRPr="003B4846">
        <w:rPr>
          <w:rFonts w:ascii="Times New Roman" w:eastAsia="Calibri" w:hAnsi="Times New Roman" w:cs="Times New Roman"/>
          <w:sz w:val="24"/>
          <w:szCs w:val="24"/>
        </w:rPr>
        <w:t>извештаје достављају Управи за јавне набавке</w:t>
      </w:r>
      <w:r w:rsidR="009C255B">
        <w:rPr>
          <w:rFonts w:ascii="Times New Roman" w:eastAsia="Calibri" w:hAnsi="Times New Roman" w:cs="Times New Roman"/>
          <w:sz w:val="24"/>
          <w:szCs w:val="24"/>
          <w:lang w:val="sr-Cyrl-RS"/>
        </w:rPr>
        <w:t xml:space="preserve"> (Управа</w:t>
      </w:r>
      <w:r w:rsidR="0017767B">
        <w:rPr>
          <w:rFonts w:ascii="Times New Roman" w:eastAsia="Calibri" w:hAnsi="Times New Roman" w:cs="Times New Roman"/>
          <w:sz w:val="24"/>
          <w:szCs w:val="24"/>
          <w:lang w:val="sr-Cyrl-RS"/>
        </w:rPr>
        <w:t>)</w:t>
      </w:r>
      <w:r w:rsidRPr="003B4846">
        <w:rPr>
          <w:rFonts w:ascii="Times New Roman" w:eastAsia="Calibri" w:hAnsi="Times New Roman" w:cs="Times New Roman"/>
          <w:sz w:val="24"/>
          <w:szCs w:val="24"/>
        </w:rPr>
        <w:t xml:space="preserve"> најкасније до 10. у месецу који следи по истеку тромесечја.</w:t>
      </w:r>
    </w:p>
    <w:p w:rsidR="003B4846" w:rsidRPr="003B4846" w:rsidRDefault="003B4846" w:rsidP="003B4846">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Кључни елементи тромесечних извештаја о јавним набавкама предвиђени су самим Законом</w:t>
      </w:r>
      <w:r w:rsidR="00DF4589">
        <w:rPr>
          <w:rFonts w:ascii="Times New Roman" w:eastAsia="Calibri" w:hAnsi="Times New Roman" w:cs="Times New Roman"/>
          <w:sz w:val="24"/>
          <w:szCs w:val="24"/>
        </w:rPr>
        <w:t>,</w:t>
      </w:r>
      <w:r w:rsidRPr="003B4846">
        <w:rPr>
          <w:rFonts w:ascii="Times New Roman" w:eastAsia="Calibri" w:hAnsi="Times New Roman" w:cs="Times New Roman"/>
          <w:sz w:val="24"/>
          <w:szCs w:val="24"/>
        </w:rPr>
        <w:t xml:space="preserve"> док су садржина извештаја и начин вођења евиденције детаљније уређени Правилником о садржини извештаја о јавним набавкама и начину вођења евиденције о јавним набавкама („Службени гласник РС“, бр. 29/13). </w:t>
      </w:r>
    </w:p>
    <w:p w:rsidR="003B4846" w:rsidRPr="003B4846" w:rsidRDefault="003B4846" w:rsidP="003B4846">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 xml:space="preserve">Конкретно, прописано је да наручиоци достављају </w:t>
      </w:r>
      <w:r w:rsidR="0017767B">
        <w:rPr>
          <w:rFonts w:ascii="Times New Roman" w:eastAsia="Calibri" w:hAnsi="Times New Roman" w:cs="Times New Roman"/>
          <w:sz w:val="24"/>
          <w:szCs w:val="24"/>
          <w:lang w:val="sr-Cyrl-RS"/>
        </w:rPr>
        <w:t>Управи</w:t>
      </w:r>
      <w:r w:rsidRPr="003B4846">
        <w:rPr>
          <w:rFonts w:ascii="Times New Roman" w:eastAsia="Calibri" w:hAnsi="Times New Roman" w:cs="Times New Roman"/>
          <w:sz w:val="24"/>
          <w:szCs w:val="24"/>
        </w:rPr>
        <w:t xml:space="preserve"> тромесечни извештај о спроведеним поступцима и закљученим уговорима о јавним набавкама, о спроведеним поступцима набавки на које се </w:t>
      </w:r>
      <w:r w:rsidR="00AD2121">
        <w:rPr>
          <w:rFonts w:ascii="Times New Roman" w:eastAsia="Calibri" w:hAnsi="Times New Roman" w:cs="Times New Roman"/>
          <w:sz w:val="24"/>
          <w:szCs w:val="24"/>
        </w:rPr>
        <w:t>не примењују</w:t>
      </w:r>
      <w:r w:rsidRPr="003B4846">
        <w:rPr>
          <w:rFonts w:ascii="Times New Roman" w:eastAsia="Calibri" w:hAnsi="Times New Roman" w:cs="Times New Roman"/>
          <w:sz w:val="24"/>
          <w:szCs w:val="24"/>
        </w:rPr>
        <w:t xml:space="preserve"> одредбе Закона, о обустављеним и поништеним поступцима јавне набавке, као и извештај о извршењу уговора.</w:t>
      </w:r>
    </w:p>
    <w:p w:rsidR="003B4846" w:rsidRPr="003B4846" w:rsidRDefault="003B4846" w:rsidP="003B4846">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 xml:space="preserve">Тромесечни извештај о јавним набавкама припрема се и доставља искључиво у електронској форми, </w:t>
      </w:r>
      <w:r w:rsidR="004214E4">
        <w:rPr>
          <w:rFonts w:ascii="Times New Roman" w:eastAsia="Calibri" w:hAnsi="Times New Roman" w:cs="Times New Roman"/>
          <w:sz w:val="24"/>
          <w:szCs w:val="24"/>
          <w:lang w:val="sr-Cyrl-RS"/>
        </w:rPr>
        <w:t>путем</w:t>
      </w:r>
      <w:r w:rsidRPr="003B4846">
        <w:rPr>
          <w:rFonts w:ascii="Times New Roman" w:eastAsia="Calibri" w:hAnsi="Times New Roman" w:cs="Times New Roman"/>
          <w:sz w:val="24"/>
          <w:szCs w:val="24"/>
        </w:rPr>
        <w:t xml:space="preserve"> апликативног софтвера </w:t>
      </w:r>
      <w:r w:rsidR="0017767B">
        <w:rPr>
          <w:rFonts w:ascii="Times New Roman" w:eastAsia="Calibri" w:hAnsi="Times New Roman" w:cs="Times New Roman"/>
          <w:sz w:val="24"/>
          <w:szCs w:val="24"/>
          <w:lang w:val="sr-Cyrl-RS"/>
        </w:rPr>
        <w:t>Управе</w:t>
      </w:r>
      <w:r w:rsidR="00D66958">
        <w:rPr>
          <w:rFonts w:ascii="Times New Roman" w:eastAsia="Calibri" w:hAnsi="Times New Roman" w:cs="Times New Roman"/>
          <w:sz w:val="24"/>
          <w:szCs w:val="24"/>
        </w:rPr>
        <w:t xml:space="preserve">. </w:t>
      </w:r>
      <w:r w:rsidR="004214E4">
        <w:rPr>
          <w:rFonts w:ascii="Times New Roman" w:eastAsia="Calibri" w:hAnsi="Times New Roman" w:cs="Times New Roman"/>
          <w:sz w:val="24"/>
          <w:szCs w:val="24"/>
          <w:lang w:val="sr-Cyrl-RS"/>
        </w:rPr>
        <w:t>Поред прописаних образаца</w:t>
      </w:r>
      <w:r w:rsidRPr="003B4846">
        <w:rPr>
          <w:rFonts w:ascii="Times New Roman" w:eastAsia="Calibri" w:hAnsi="Times New Roman" w:cs="Times New Roman"/>
          <w:sz w:val="24"/>
          <w:szCs w:val="24"/>
        </w:rPr>
        <w:t xml:space="preserve"> за вођење евиденције</w:t>
      </w:r>
      <w:r w:rsidR="004214E4">
        <w:rPr>
          <w:rFonts w:ascii="Times New Roman" w:eastAsia="Calibri" w:hAnsi="Times New Roman" w:cs="Times New Roman"/>
          <w:sz w:val="24"/>
          <w:szCs w:val="24"/>
          <w:lang w:val="sr-Cyrl-RS"/>
        </w:rPr>
        <w:t>, софтвер садржи</w:t>
      </w:r>
      <w:r w:rsidRPr="003B4846">
        <w:rPr>
          <w:rFonts w:ascii="Times New Roman" w:eastAsia="Calibri" w:hAnsi="Times New Roman" w:cs="Times New Roman"/>
          <w:sz w:val="24"/>
          <w:szCs w:val="24"/>
        </w:rPr>
        <w:t xml:space="preserve"> и пратеће корисничко упутство за употребу, </w:t>
      </w:r>
      <w:r w:rsidR="00E00E95">
        <w:rPr>
          <w:rFonts w:ascii="Times New Roman" w:eastAsia="Calibri" w:hAnsi="Times New Roman" w:cs="Times New Roman"/>
          <w:sz w:val="24"/>
          <w:szCs w:val="24"/>
          <w:lang w:val="sr-Cyrl-RS"/>
        </w:rPr>
        <w:t xml:space="preserve">и </w:t>
      </w:r>
      <w:r w:rsidRPr="003B4846">
        <w:rPr>
          <w:rFonts w:ascii="Times New Roman" w:eastAsia="Calibri" w:hAnsi="Times New Roman" w:cs="Times New Roman"/>
          <w:sz w:val="24"/>
          <w:szCs w:val="24"/>
        </w:rPr>
        <w:t xml:space="preserve">доступан </w:t>
      </w:r>
      <w:r w:rsidR="00E00E95">
        <w:rPr>
          <w:rFonts w:ascii="Times New Roman" w:eastAsia="Calibri" w:hAnsi="Times New Roman" w:cs="Times New Roman"/>
          <w:sz w:val="24"/>
          <w:szCs w:val="24"/>
          <w:lang w:val="sr-Cyrl-RS"/>
        </w:rPr>
        <w:t xml:space="preserve">је </w:t>
      </w:r>
      <w:r w:rsidRPr="003B4846">
        <w:rPr>
          <w:rFonts w:ascii="Times New Roman" w:eastAsia="Calibri" w:hAnsi="Times New Roman" w:cs="Times New Roman"/>
          <w:sz w:val="24"/>
          <w:szCs w:val="24"/>
        </w:rPr>
        <w:t xml:space="preserve">на интернет страници </w:t>
      </w:r>
      <w:r w:rsidR="0017767B">
        <w:rPr>
          <w:rFonts w:ascii="Times New Roman" w:eastAsia="Calibri" w:hAnsi="Times New Roman" w:cs="Times New Roman"/>
          <w:sz w:val="24"/>
          <w:szCs w:val="24"/>
          <w:lang w:val="sr-Cyrl-RS"/>
        </w:rPr>
        <w:t>Управе</w:t>
      </w:r>
      <w:r w:rsidR="00E00E95">
        <w:rPr>
          <w:rFonts w:ascii="Times New Roman" w:eastAsia="Calibri" w:hAnsi="Times New Roman" w:cs="Times New Roman"/>
          <w:sz w:val="24"/>
          <w:szCs w:val="24"/>
        </w:rPr>
        <w:t xml:space="preserve"> </w:t>
      </w:r>
      <w:r w:rsidRPr="003B4846">
        <w:rPr>
          <w:rFonts w:ascii="Times New Roman" w:eastAsia="Calibri" w:hAnsi="Times New Roman" w:cs="Times New Roman"/>
          <w:sz w:val="24"/>
          <w:szCs w:val="24"/>
        </w:rPr>
        <w:t>(</w:t>
      </w:r>
      <w:hyperlink r:id="rId10" w:history="1">
        <w:r w:rsidRPr="003B4846">
          <w:rPr>
            <w:rFonts w:ascii="Times New Roman" w:eastAsia="Calibri" w:hAnsi="Times New Roman" w:cs="Times New Roman"/>
            <w:color w:val="0000FF"/>
            <w:sz w:val="24"/>
            <w:szCs w:val="24"/>
            <w:u w:val="single"/>
          </w:rPr>
          <w:t>www.ujn.gov.rs</w:t>
        </w:r>
      </w:hyperlink>
      <w:r w:rsidRPr="003B4846">
        <w:rPr>
          <w:rFonts w:ascii="Times New Roman" w:eastAsia="Calibri" w:hAnsi="Times New Roman" w:cs="Times New Roman"/>
          <w:sz w:val="24"/>
          <w:szCs w:val="24"/>
        </w:rPr>
        <w:t xml:space="preserve">). </w:t>
      </w:r>
    </w:p>
    <w:p w:rsidR="003B4846" w:rsidRPr="003B4846" w:rsidRDefault="003B4846" w:rsidP="003B4846">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 xml:space="preserve">Подаци о уговорима закљученим у поступку јавне набавке мале вредности, као и подаци о набавкама на које се Закон не примењује у извештајима се наводе збирно, за разлику од осталих поступака где </w:t>
      </w:r>
      <w:r w:rsidR="00522966">
        <w:rPr>
          <w:rFonts w:ascii="Times New Roman" w:eastAsia="Calibri" w:hAnsi="Times New Roman" w:cs="Times New Roman"/>
          <w:sz w:val="24"/>
          <w:szCs w:val="24"/>
          <w:lang w:val="sr-Cyrl-RS"/>
        </w:rPr>
        <w:t>наручиоци</w:t>
      </w:r>
      <w:r w:rsidRPr="003B4846">
        <w:rPr>
          <w:rFonts w:ascii="Times New Roman" w:eastAsia="Calibri" w:hAnsi="Times New Roman" w:cs="Times New Roman"/>
          <w:sz w:val="24"/>
          <w:szCs w:val="24"/>
        </w:rPr>
        <w:t xml:space="preserve"> евидентира</w:t>
      </w:r>
      <w:r w:rsidR="00522966">
        <w:rPr>
          <w:rFonts w:ascii="Times New Roman" w:eastAsia="Calibri" w:hAnsi="Times New Roman" w:cs="Times New Roman"/>
          <w:sz w:val="24"/>
          <w:szCs w:val="24"/>
          <w:lang w:val="sr-Cyrl-RS"/>
        </w:rPr>
        <w:t>ју</w:t>
      </w:r>
      <w:r w:rsidRPr="003B4846">
        <w:rPr>
          <w:rFonts w:ascii="Times New Roman" w:eastAsia="Calibri" w:hAnsi="Times New Roman" w:cs="Times New Roman"/>
          <w:sz w:val="24"/>
          <w:szCs w:val="24"/>
        </w:rPr>
        <w:t xml:space="preserve"> сваки закључени уговор појединачно.</w:t>
      </w:r>
    </w:p>
    <w:p w:rsidR="003B4846" w:rsidRPr="003B4846" w:rsidRDefault="003B4846" w:rsidP="003B4846">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 xml:space="preserve">Нови систем извештавања, путем наведеног апликативног софтвера, почео је са применом </w:t>
      </w:r>
      <w:r w:rsidR="00172BC7">
        <w:rPr>
          <w:rFonts w:ascii="Times New Roman" w:eastAsia="Calibri" w:hAnsi="Times New Roman" w:cs="Times New Roman"/>
          <w:sz w:val="24"/>
          <w:szCs w:val="24"/>
          <w:lang w:val="sr-Cyrl-RS"/>
        </w:rPr>
        <w:t xml:space="preserve">почев </w:t>
      </w:r>
      <w:r w:rsidRPr="003B4846">
        <w:rPr>
          <w:rFonts w:ascii="Times New Roman" w:eastAsia="Calibri" w:hAnsi="Times New Roman" w:cs="Times New Roman"/>
          <w:sz w:val="24"/>
          <w:szCs w:val="24"/>
        </w:rPr>
        <w:t>од рока за достављање извештаја о јавним набавкама за други  квартал 2013. године.</w:t>
      </w:r>
    </w:p>
    <w:p w:rsidR="003B4846" w:rsidRPr="003B4846" w:rsidRDefault="003B4846" w:rsidP="003B4846">
      <w:pPr>
        <w:jc w:val="both"/>
        <w:rPr>
          <w:rFonts w:ascii="Times New Roman" w:eastAsia="Calibri" w:hAnsi="Times New Roman" w:cs="Times New Roman"/>
          <w:sz w:val="24"/>
          <w:szCs w:val="24"/>
        </w:rPr>
      </w:pPr>
      <w:r w:rsidRPr="003B4846">
        <w:rPr>
          <w:rFonts w:ascii="Times New Roman" w:eastAsia="Calibri" w:hAnsi="Times New Roman" w:cs="Times New Roman"/>
          <w:sz w:val="24"/>
          <w:szCs w:val="24"/>
        </w:rPr>
        <w:t xml:space="preserve">За исправност и тачност података приказаних у </w:t>
      </w:r>
      <w:r w:rsidR="00BA4C08">
        <w:rPr>
          <w:rFonts w:ascii="Times New Roman" w:eastAsia="Calibri" w:hAnsi="Times New Roman" w:cs="Times New Roman"/>
          <w:sz w:val="24"/>
          <w:szCs w:val="24"/>
          <w:lang w:val="sr-Cyrl-RS"/>
        </w:rPr>
        <w:t xml:space="preserve">својим </w:t>
      </w:r>
      <w:r w:rsidRPr="003B4846">
        <w:rPr>
          <w:rFonts w:ascii="Times New Roman" w:eastAsia="Calibri" w:hAnsi="Times New Roman" w:cs="Times New Roman"/>
          <w:sz w:val="24"/>
          <w:szCs w:val="24"/>
        </w:rPr>
        <w:t>извештајима</w:t>
      </w:r>
      <w:r w:rsidR="00BA4C08">
        <w:rPr>
          <w:rFonts w:ascii="Times New Roman" w:eastAsia="Calibri" w:hAnsi="Times New Roman" w:cs="Times New Roman"/>
          <w:sz w:val="24"/>
          <w:szCs w:val="24"/>
          <w:lang w:val="sr-Cyrl-RS"/>
        </w:rPr>
        <w:t>,</w:t>
      </w:r>
      <w:r w:rsidRPr="003B4846">
        <w:rPr>
          <w:rFonts w:ascii="Times New Roman" w:eastAsia="Calibri" w:hAnsi="Times New Roman" w:cs="Times New Roman"/>
          <w:sz w:val="24"/>
          <w:szCs w:val="24"/>
        </w:rPr>
        <w:t xml:space="preserve"> одговорни су сами наручиоци.</w:t>
      </w:r>
    </w:p>
    <w:p w:rsidR="00522966" w:rsidRPr="00522966" w:rsidRDefault="00522966" w:rsidP="003B4846">
      <w:pPr>
        <w:jc w:val="both"/>
        <w:rPr>
          <w:rFonts w:ascii="Times New Roman" w:eastAsia="Calibri" w:hAnsi="Times New Roman" w:cs="Times New Roman"/>
          <w:sz w:val="24"/>
          <w:szCs w:val="24"/>
          <w:lang w:val="sr-Cyrl-RS"/>
        </w:rPr>
      </w:pPr>
      <w:r>
        <w:rPr>
          <w:rFonts w:ascii="Times New Roman" w:eastAsia="Calibri" w:hAnsi="Times New Roman" w:cs="Times New Roman"/>
          <w:sz w:val="24"/>
          <w:szCs w:val="24"/>
          <w:lang w:val="sr-Cyrl-RS"/>
        </w:rPr>
        <w:t>Управа</w:t>
      </w:r>
      <w:r w:rsidRPr="003B4846">
        <w:rPr>
          <w:rFonts w:ascii="Times New Roman" w:eastAsia="Calibri" w:hAnsi="Times New Roman" w:cs="Times New Roman"/>
          <w:sz w:val="24"/>
          <w:szCs w:val="24"/>
        </w:rPr>
        <w:t xml:space="preserve"> је дужна да на основу појединачних извештаја наручилаца припреми збирни, полугодишњи и годишњи извештај о јавним набавкама са предлогом мера за унапређење система јавних набавки и да их, након достављања Влади РС, обја</w:t>
      </w:r>
      <w:r>
        <w:rPr>
          <w:rFonts w:ascii="Times New Roman" w:eastAsia="Calibri" w:hAnsi="Times New Roman" w:cs="Times New Roman"/>
          <w:sz w:val="24"/>
          <w:szCs w:val="24"/>
        </w:rPr>
        <w:t>ви на својој интернет страници.</w:t>
      </w:r>
    </w:p>
    <w:p w:rsidR="003B4846" w:rsidRPr="003B4846" w:rsidRDefault="00B1661D" w:rsidP="003B4846">
      <w:pPr>
        <w:jc w:val="both"/>
        <w:rPr>
          <w:rFonts w:ascii="Times New Roman" w:eastAsia="Calibri" w:hAnsi="Times New Roman" w:cs="Times New Roman"/>
          <w:sz w:val="24"/>
          <w:szCs w:val="24"/>
        </w:rPr>
      </w:pPr>
      <w:r>
        <w:rPr>
          <w:rFonts w:ascii="Times New Roman" w:eastAsia="Calibri" w:hAnsi="Times New Roman" w:cs="Times New Roman"/>
          <w:sz w:val="24"/>
          <w:szCs w:val="24"/>
          <w:lang w:val="sr-Cyrl-RS"/>
        </w:rPr>
        <w:t xml:space="preserve">Такође, </w:t>
      </w:r>
      <w:r w:rsidR="00522966">
        <w:rPr>
          <w:rFonts w:ascii="Times New Roman" w:eastAsia="Calibri" w:hAnsi="Times New Roman" w:cs="Times New Roman"/>
          <w:sz w:val="24"/>
          <w:szCs w:val="24"/>
          <w:lang w:val="sr-Cyrl-RS"/>
        </w:rPr>
        <w:t>н</w:t>
      </w:r>
      <w:r>
        <w:rPr>
          <w:rFonts w:ascii="Times New Roman" w:eastAsia="Calibri" w:hAnsi="Times New Roman" w:cs="Times New Roman"/>
          <w:sz w:val="24"/>
          <w:szCs w:val="24"/>
        </w:rPr>
        <w:t>а</w:t>
      </w:r>
      <w:r>
        <w:rPr>
          <w:rFonts w:ascii="Times New Roman" w:eastAsia="Calibri" w:hAnsi="Times New Roman" w:cs="Times New Roman"/>
          <w:sz w:val="24"/>
          <w:szCs w:val="24"/>
          <w:lang w:val="sr-Cyrl-RS"/>
        </w:rPr>
        <w:t xml:space="preserve"> </w:t>
      </w:r>
      <w:r w:rsidR="003B4846" w:rsidRPr="003B4846">
        <w:rPr>
          <w:rFonts w:ascii="Times New Roman" w:eastAsia="Calibri" w:hAnsi="Times New Roman" w:cs="Times New Roman"/>
          <w:sz w:val="24"/>
          <w:szCs w:val="24"/>
        </w:rPr>
        <w:t>основу достављених тромесечних извештаја наручилаца</w:t>
      </w:r>
      <w:r w:rsidR="003F4D18">
        <w:rPr>
          <w:rFonts w:ascii="Times New Roman" w:eastAsia="Calibri" w:hAnsi="Times New Roman" w:cs="Times New Roman"/>
          <w:sz w:val="24"/>
          <w:szCs w:val="24"/>
        </w:rPr>
        <w:t>,</w:t>
      </w:r>
      <w:r w:rsidR="003B4846" w:rsidRPr="003B4846">
        <w:rPr>
          <w:rFonts w:ascii="Times New Roman" w:eastAsia="Calibri" w:hAnsi="Times New Roman" w:cs="Times New Roman"/>
          <w:sz w:val="24"/>
          <w:szCs w:val="24"/>
        </w:rPr>
        <w:t xml:space="preserve"> Управа припрема преглед спроведених поступака и закључених уговорa који објављује на Порталу јавних набавки (</w:t>
      </w:r>
      <w:hyperlink r:id="rId11" w:history="1">
        <w:r w:rsidR="003B4846" w:rsidRPr="003B4846">
          <w:rPr>
            <w:rStyle w:val="Hyperlink"/>
            <w:rFonts w:ascii="Times New Roman" w:eastAsia="Calibri" w:hAnsi="Times New Roman" w:cs="Times New Roman"/>
            <w:sz w:val="24"/>
            <w:szCs w:val="24"/>
          </w:rPr>
          <w:t>http://portal.ujn.gov.rs</w:t>
        </w:r>
      </w:hyperlink>
      <w:r w:rsidR="00EB087B">
        <w:rPr>
          <w:rFonts w:ascii="Times New Roman" w:eastAsia="Calibri" w:hAnsi="Times New Roman" w:cs="Times New Roman"/>
          <w:sz w:val="24"/>
          <w:szCs w:val="24"/>
        </w:rPr>
        <w:t>)</w:t>
      </w:r>
      <w:r w:rsidR="00EB087B">
        <w:rPr>
          <w:rFonts w:ascii="Times New Roman" w:eastAsia="Calibri" w:hAnsi="Times New Roman" w:cs="Times New Roman"/>
          <w:sz w:val="24"/>
          <w:szCs w:val="24"/>
          <w:lang w:val="sr-Cyrl-RS"/>
        </w:rPr>
        <w:t>,</w:t>
      </w:r>
      <w:r w:rsidR="007F69F0">
        <w:rPr>
          <w:rFonts w:ascii="Times New Roman" w:eastAsia="Calibri" w:hAnsi="Times New Roman" w:cs="Times New Roman"/>
          <w:sz w:val="24"/>
          <w:szCs w:val="24"/>
          <w:lang w:val="sr-Cyrl-RS"/>
        </w:rPr>
        <w:t xml:space="preserve"> </w:t>
      </w:r>
      <w:r w:rsidR="00EB087B">
        <w:rPr>
          <w:rFonts w:ascii="Times New Roman" w:eastAsia="Calibri" w:hAnsi="Times New Roman" w:cs="Times New Roman"/>
          <w:sz w:val="24"/>
          <w:szCs w:val="24"/>
          <w:lang w:val="sr-Cyrl-RS"/>
        </w:rPr>
        <w:t>ради информисања ј</w:t>
      </w:r>
      <w:r w:rsidR="0017276A">
        <w:rPr>
          <w:rFonts w:ascii="Times New Roman" w:eastAsia="Calibri" w:hAnsi="Times New Roman" w:cs="Times New Roman"/>
          <w:sz w:val="24"/>
          <w:szCs w:val="24"/>
          <w:lang w:val="sr-Cyrl-RS"/>
        </w:rPr>
        <w:t>а</w:t>
      </w:r>
      <w:r w:rsidR="00EB087B">
        <w:rPr>
          <w:rFonts w:ascii="Times New Roman" w:eastAsia="Calibri" w:hAnsi="Times New Roman" w:cs="Times New Roman"/>
          <w:sz w:val="24"/>
          <w:szCs w:val="24"/>
          <w:lang w:val="sr-Cyrl-RS"/>
        </w:rPr>
        <w:t>вности</w:t>
      </w:r>
      <w:r w:rsidR="003B4846" w:rsidRPr="003B4846">
        <w:rPr>
          <w:rFonts w:ascii="Times New Roman" w:eastAsia="Calibri" w:hAnsi="Times New Roman" w:cs="Times New Roman"/>
          <w:sz w:val="24"/>
          <w:szCs w:val="24"/>
        </w:rPr>
        <w:t>.</w:t>
      </w:r>
    </w:p>
    <w:p w:rsidR="001C62AD" w:rsidRPr="003B4846" w:rsidRDefault="001C62AD">
      <w:pPr>
        <w:rPr>
          <w:rFonts w:ascii="Times New Roman" w:hAnsi="Times New Roman" w:cs="Times New Roman"/>
          <w:sz w:val="24"/>
          <w:szCs w:val="24"/>
        </w:rPr>
      </w:pPr>
    </w:p>
    <w:p w:rsidR="00F972A0" w:rsidRDefault="00F972A0">
      <w:pPr>
        <w:rPr>
          <w:rFonts w:ascii="Times New Roman" w:hAnsi="Times New Roman" w:cs="Times New Roman"/>
          <w:sz w:val="24"/>
          <w:szCs w:val="24"/>
        </w:rPr>
        <w:sectPr w:rsidR="00F972A0" w:rsidSect="00F56CE2">
          <w:footerReference w:type="default" r:id="rId12"/>
          <w:pgSz w:w="11907" w:h="16839" w:code="9"/>
          <w:pgMar w:top="720" w:right="720" w:bottom="720" w:left="720" w:header="708" w:footer="708" w:gutter="0"/>
          <w:pgNumType w:start="0"/>
          <w:cols w:space="708"/>
          <w:titlePg/>
          <w:docGrid w:linePitch="360"/>
        </w:sectPr>
      </w:pPr>
    </w:p>
    <w:p w:rsidR="005745B7" w:rsidRPr="000B4B53" w:rsidRDefault="00E70A37" w:rsidP="000B4B53">
      <w:pPr>
        <w:pStyle w:val="ListParagraph"/>
        <w:numPr>
          <w:ilvl w:val="0"/>
          <w:numId w:val="2"/>
        </w:numPr>
        <w:rPr>
          <w:rFonts w:ascii="Times New Roman" w:hAnsi="Times New Roman" w:cs="Times New Roman"/>
          <w:b/>
          <w:sz w:val="24"/>
          <w:szCs w:val="24"/>
        </w:rPr>
      </w:pPr>
      <w:r w:rsidRPr="000B4B53">
        <w:rPr>
          <w:rFonts w:ascii="Times New Roman" w:hAnsi="Times New Roman" w:cs="Times New Roman"/>
          <w:b/>
          <w:sz w:val="24"/>
          <w:szCs w:val="24"/>
        </w:rPr>
        <w:lastRenderedPageBreak/>
        <w:t xml:space="preserve">ЗБИРНИ ПРЕГЛЕД </w:t>
      </w:r>
      <w:r w:rsidR="008F0573">
        <w:rPr>
          <w:rFonts w:ascii="Times New Roman" w:hAnsi="Times New Roman" w:cs="Times New Roman"/>
          <w:b/>
          <w:sz w:val="24"/>
          <w:szCs w:val="24"/>
        </w:rPr>
        <w:t xml:space="preserve">ЈАВНИХ </w:t>
      </w:r>
      <w:r w:rsidRPr="000B4B53">
        <w:rPr>
          <w:rFonts w:ascii="Times New Roman" w:hAnsi="Times New Roman" w:cs="Times New Roman"/>
          <w:b/>
          <w:sz w:val="24"/>
          <w:szCs w:val="24"/>
        </w:rPr>
        <w:t>НАБАВКИ У РЕПУБЛИЦИ СРБИЈИ</w:t>
      </w:r>
    </w:p>
    <w:p w:rsidR="00EF35D1" w:rsidRDefault="00432B7F" w:rsidP="003E775D">
      <w:pPr>
        <w:jc w:val="both"/>
        <w:rPr>
          <w:rFonts w:ascii="Times New Roman" w:hAnsi="Times New Roman" w:cs="Times New Roman"/>
          <w:sz w:val="24"/>
          <w:szCs w:val="24"/>
        </w:rPr>
      </w:pPr>
      <w:r>
        <w:rPr>
          <w:rFonts w:ascii="Times New Roman" w:hAnsi="Times New Roman" w:cs="Times New Roman"/>
          <w:sz w:val="24"/>
          <w:szCs w:val="24"/>
        </w:rPr>
        <w:t xml:space="preserve">Сагледавање и </w:t>
      </w:r>
      <w:r w:rsidR="00A419C2">
        <w:rPr>
          <w:rFonts w:ascii="Times New Roman" w:hAnsi="Times New Roman" w:cs="Times New Roman"/>
          <w:sz w:val="24"/>
          <w:szCs w:val="24"/>
        </w:rPr>
        <w:t xml:space="preserve">поређење </w:t>
      </w:r>
      <w:r>
        <w:rPr>
          <w:rFonts w:ascii="Times New Roman" w:hAnsi="Times New Roman" w:cs="Times New Roman"/>
          <w:sz w:val="24"/>
          <w:szCs w:val="24"/>
        </w:rPr>
        <w:t xml:space="preserve">података о </w:t>
      </w:r>
      <w:r w:rsidR="00EF35D1" w:rsidRPr="00EF35D1">
        <w:rPr>
          <w:rFonts w:ascii="Times New Roman" w:hAnsi="Times New Roman" w:cs="Times New Roman"/>
          <w:sz w:val="24"/>
          <w:szCs w:val="24"/>
        </w:rPr>
        <w:t xml:space="preserve">јавним набавкама у </w:t>
      </w:r>
      <w:r w:rsidR="00A419C2">
        <w:rPr>
          <w:rFonts w:ascii="Times New Roman" w:hAnsi="Times New Roman" w:cs="Times New Roman"/>
          <w:sz w:val="24"/>
          <w:szCs w:val="24"/>
        </w:rPr>
        <w:t>првом полугодишту 2014</w:t>
      </w:r>
      <w:r>
        <w:rPr>
          <w:rFonts w:ascii="Times New Roman" w:hAnsi="Times New Roman" w:cs="Times New Roman"/>
          <w:sz w:val="24"/>
          <w:szCs w:val="24"/>
        </w:rPr>
        <w:t xml:space="preserve">. </w:t>
      </w:r>
      <w:r w:rsidR="008E372F">
        <w:rPr>
          <w:rFonts w:ascii="Times New Roman" w:hAnsi="Times New Roman" w:cs="Times New Roman"/>
          <w:sz w:val="24"/>
          <w:szCs w:val="24"/>
          <w:lang w:val="sr-Cyrl-RS"/>
        </w:rPr>
        <w:t>г</w:t>
      </w:r>
      <w:r>
        <w:rPr>
          <w:rFonts w:ascii="Times New Roman" w:hAnsi="Times New Roman" w:cs="Times New Roman"/>
          <w:sz w:val="24"/>
          <w:szCs w:val="24"/>
        </w:rPr>
        <w:t>один</w:t>
      </w:r>
      <w:r w:rsidR="00A419C2">
        <w:rPr>
          <w:rFonts w:ascii="Times New Roman" w:hAnsi="Times New Roman" w:cs="Times New Roman"/>
          <w:sz w:val="24"/>
          <w:szCs w:val="24"/>
        </w:rPr>
        <w:t>е</w:t>
      </w:r>
      <w:r w:rsidR="008E372F">
        <w:rPr>
          <w:rFonts w:ascii="Times New Roman" w:hAnsi="Times New Roman" w:cs="Times New Roman"/>
          <w:sz w:val="24"/>
          <w:szCs w:val="24"/>
          <w:lang w:val="sr-Cyrl-RS"/>
        </w:rPr>
        <w:t xml:space="preserve"> </w:t>
      </w:r>
      <w:r w:rsidR="00A419C2">
        <w:rPr>
          <w:rFonts w:ascii="Times New Roman" w:hAnsi="Times New Roman" w:cs="Times New Roman"/>
          <w:sz w:val="24"/>
          <w:szCs w:val="24"/>
        </w:rPr>
        <w:t>са показатељима из истог периода претходне године релевантно је</w:t>
      </w:r>
      <w:r w:rsidR="00842958">
        <w:rPr>
          <w:rFonts w:ascii="Times New Roman" w:hAnsi="Times New Roman" w:cs="Times New Roman"/>
          <w:sz w:val="24"/>
          <w:szCs w:val="24"/>
          <w:lang w:val="sr-Cyrl-RS"/>
        </w:rPr>
        <w:t>,</w:t>
      </w:r>
      <w:r w:rsidR="00A419C2">
        <w:rPr>
          <w:rFonts w:ascii="Times New Roman" w:hAnsi="Times New Roman" w:cs="Times New Roman"/>
          <w:sz w:val="24"/>
          <w:szCs w:val="24"/>
        </w:rPr>
        <w:t xml:space="preserve"> јер одсликава промене настале као резултат успостављања новог регулаторног и институционалног оквира. Наиме, нови </w:t>
      </w:r>
      <w:r w:rsidR="0017767B">
        <w:rPr>
          <w:rFonts w:ascii="Times New Roman" w:hAnsi="Times New Roman" w:cs="Times New Roman"/>
          <w:sz w:val="24"/>
          <w:szCs w:val="24"/>
          <w:lang w:val="sr-Cyrl-RS"/>
        </w:rPr>
        <w:t xml:space="preserve">Закон </w:t>
      </w:r>
      <w:r w:rsidR="00A419C2">
        <w:rPr>
          <w:rFonts w:ascii="Times New Roman" w:hAnsi="Times New Roman" w:cs="Times New Roman"/>
          <w:sz w:val="24"/>
          <w:szCs w:val="24"/>
        </w:rPr>
        <w:t xml:space="preserve">који је увео нове механизме праћења и контроле поступака јавних набавки и поверио надзор над применом </w:t>
      </w:r>
      <w:r w:rsidR="0017767B">
        <w:rPr>
          <w:rFonts w:ascii="Times New Roman" w:hAnsi="Times New Roman" w:cs="Times New Roman"/>
          <w:sz w:val="24"/>
          <w:szCs w:val="24"/>
          <w:lang w:val="sr-Cyrl-RS"/>
        </w:rPr>
        <w:t>Закона</w:t>
      </w:r>
      <w:r w:rsidR="00934022">
        <w:rPr>
          <w:rFonts w:ascii="Times New Roman" w:hAnsi="Times New Roman" w:cs="Times New Roman"/>
          <w:sz w:val="24"/>
          <w:szCs w:val="24"/>
        </w:rPr>
        <w:t xml:space="preserve"> Управи, уместо Министарству финан</w:t>
      </w:r>
      <w:r w:rsidR="00DE135D">
        <w:rPr>
          <w:rFonts w:ascii="Times New Roman" w:hAnsi="Times New Roman" w:cs="Times New Roman"/>
          <w:sz w:val="24"/>
          <w:szCs w:val="24"/>
        </w:rPr>
        <w:t xml:space="preserve">сија, као што је било </w:t>
      </w:r>
      <w:r w:rsidR="00BD1019">
        <w:rPr>
          <w:rFonts w:ascii="Times New Roman" w:hAnsi="Times New Roman" w:cs="Times New Roman"/>
          <w:sz w:val="24"/>
          <w:szCs w:val="24"/>
          <w:lang w:val="sr-Cyrl-RS"/>
        </w:rPr>
        <w:t>током</w:t>
      </w:r>
      <w:r w:rsidR="00934022">
        <w:rPr>
          <w:rFonts w:ascii="Times New Roman" w:hAnsi="Times New Roman" w:cs="Times New Roman"/>
          <w:sz w:val="24"/>
          <w:szCs w:val="24"/>
        </w:rPr>
        <w:t xml:space="preserve"> претходних једанаест година, почео је да се примењује од 1</w:t>
      </w:r>
      <w:r>
        <w:rPr>
          <w:rFonts w:ascii="Times New Roman" w:hAnsi="Times New Roman" w:cs="Times New Roman"/>
          <w:sz w:val="24"/>
          <w:szCs w:val="24"/>
        </w:rPr>
        <w:t xml:space="preserve">. априла 2013. </w:t>
      </w:r>
      <w:r w:rsidR="00934022">
        <w:rPr>
          <w:rFonts w:ascii="Times New Roman" w:hAnsi="Times New Roman" w:cs="Times New Roman"/>
          <w:sz w:val="24"/>
          <w:szCs w:val="24"/>
        </w:rPr>
        <w:t>г</w:t>
      </w:r>
      <w:r>
        <w:rPr>
          <w:rFonts w:ascii="Times New Roman" w:hAnsi="Times New Roman" w:cs="Times New Roman"/>
          <w:sz w:val="24"/>
          <w:szCs w:val="24"/>
        </w:rPr>
        <w:t>одине</w:t>
      </w:r>
      <w:r w:rsidR="00934022">
        <w:rPr>
          <w:rFonts w:ascii="Times New Roman" w:hAnsi="Times New Roman" w:cs="Times New Roman"/>
          <w:sz w:val="24"/>
          <w:szCs w:val="24"/>
        </w:rPr>
        <w:t>. В</w:t>
      </w:r>
      <w:r>
        <w:rPr>
          <w:rFonts w:ascii="Times New Roman" w:hAnsi="Times New Roman" w:cs="Times New Roman"/>
          <w:sz w:val="24"/>
          <w:szCs w:val="24"/>
        </w:rPr>
        <w:t xml:space="preserve">елики број наручилаца </w:t>
      </w:r>
      <w:r w:rsidR="00EF35D1" w:rsidRPr="00EF35D1">
        <w:rPr>
          <w:rFonts w:ascii="Times New Roman" w:hAnsi="Times New Roman" w:cs="Times New Roman"/>
          <w:sz w:val="24"/>
          <w:szCs w:val="24"/>
        </w:rPr>
        <w:t xml:space="preserve">покренуо </w:t>
      </w:r>
      <w:r w:rsidR="00934022">
        <w:rPr>
          <w:rFonts w:ascii="Times New Roman" w:hAnsi="Times New Roman" w:cs="Times New Roman"/>
          <w:sz w:val="24"/>
          <w:szCs w:val="24"/>
        </w:rPr>
        <w:t xml:space="preserve">је </w:t>
      </w:r>
      <w:r w:rsidR="00EF35D1" w:rsidRPr="00EF35D1">
        <w:rPr>
          <w:rFonts w:ascii="Times New Roman" w:hAnsi="Times New Roman" w:cs="Times New Roman"/>
          <w:sz w:val="24"/>
          <w:szCs w:val="24"/>
        </w:rPr>
        <w:t xml:space="preserve">поступке </w:t>
      </w:r>
      <w:r>
        <w:rPr>
          <w:rFonts w:ascii="Times New Roman" w:hAnsi="Times New Roman" w:cs="Times New Roman"/>
          <w:sz w:val="24"/>
          <w:szCs w:val="24"/>
        </w:rPr>
        <w:t>током првог квартала 2013.</w:t>
      </w:r>
      <w:r w:rsidR="002C6128">
        <w:rPr>
          <w:rFonts w:ascii="Times New Roman" w:hAnsi="Times New Roman" w:cs="Times New Roman"/>
          <w:sz w:val="24"/>
          <w:szCs w:val="24"/>
          <w:lang w:val="sr-Cyrl-RS"/>
        </w:rPr>
        <w:t xml:space="preserve"> </w:t>
      </w:r>
      <w:r>
        <w:rPr>
          <w:rFonts w:ascii="Times New Roman" w:hAnsi="Times New Roman" w:cs="Times New Roman"/>
          <w:sz w:val="24"/>
          <w:szCs w:val="24"/>
        </w:rPr>
        <w:t xml:space="preserve">године </w:t>
      </w:r>
      <w:r w:rsidR="00E3384D">
        <w:rPr>
          <w:rFonts w:ascii="Times New Roman" w:hAnsi="Times New Roman" w:cs="Times New Roman"/>
          <w:sz w:val="24"/>
          <w:szCs w:val="24"/>
        </w:rPr>
        <w:t xml:space="preserve">како би их спровео по „старом“ </w:t>
      </w:r>
      <w:r w:rsidR="00E3384D">
        <w:rPr>
          <w:rFonts w:ascii="Times New Roman" w:hAnsi="Times New Roman" w:cs="Times New Roman"/>
          <w:sz w:val="24"/>
          <w:szCs w:val="24"/>
          <w:lang w:val="sr-Cyrl-RS"/>
        </w:rPr>
        <w:t>З</w:t>
      </w:r>
      <w:r>
        <w:rPr>
          <w:rFonts w:ascii="Times New Roman" w:hAnsi="Times New Roman" w:cs="Times New Roman"/>
          <w:sz w:val="24"/>
          <w:szCs w:val="24"/>
        </w:rPr>
        <w:t xml:space="preserve">акону, </w:t>
      </w:r>
      <w:r w:rsidR="00934022">
        <w:rPr>
          <w:rFonts w:ascii="Times New Roman" w:hAnsi="Times New Roman" w:cs="Times New Roman"/>
          <w:sz w:val="24"/>
          <w:szCs w:val="24"/>
        </w:rPr>
        <w:t xml:space="preserve">тако да је </w:t>
      </w:r>
      <w:r>
        <w:rPr>
          <w:rFonts w:ascii="Times New Roman" w:hAnsi="Times New Roman" w:cs="Times New Roman"/>
          <w:sz w:val="24"/>
          <w:szCs w:val="24"/>
        </w:rPr>
        <w:t>највећи број поступ</w:t>
      </w:r>
      <w:r w:rsidR="008E372F">
        <w:rPr>
          <w:rFonts w:ascii="Times New Roman" w:hAnsi="Times New Roman" w:cs="Times New Roman"/>
          <w:sz w:val="24"/>
          <w:szCs w:val="24"/>
        </w:rPr>
        <w:t>ака за које су уговори закључен</w:t>
      </w:r>
      <w:r>
        <w:rPr>
          <w:rFonts w:ascii="Times New Roman" w:hAnsi="Times New Roman" w:cs="Times New Roman"/>
          <w:sz w:val="24"/>
          <w:szCs w:val="24"/>
        </w:rPr>
        <w:t xml:space="preserve">и у првом и другом кварталу </w:t>
      </w:r>
      <w:r w:rsidR="00934022">
        <w:rPr>
          <w:rFonts w:ascii="Times New Roman" w:hAnsi="Times New Roman" w:cs="Times New Roman"/>
          <w:sz w:val="24"/>
          <w:szCs w:val="24"/>
        </w:rPr>
        <w:t xml:space="preserve">2013. године </w:t>
      </w:r>
      <w:r>
        <w:rPr>
          <w:rFonts w:ascii="Times New Roman" w:hAnsi="Times New Roman" w:cs="Times New Roman"/>
          <w:sz w:val="24"/>
          <w:szCs w:val="24"/>
        </w:rPr>
        <w:t xml:space="preserve">спроведен по </w:t>
      </w:r>
      <w:r w:rsidR="00934022">
        <w:rPr>
          <w:rFonts w:ascii="Times New Roman" w:hAnsi="Times New Roman" w:cs="Times New Roman"/>
          <w:sz w:val="24"/>
          <w:szCs w:val="24"/>
        </w:rPr>
        <w:t xml:space="preserve">претходном </w:t>
      </w:r>
      <w:r w:rsidR="001E6353">
        <w:rPr>
          <w:rFonts w:ascii="Times New Roman" w:hAnsi="Times New Roman" w:cs="Times New Roman"/>
          <w:sz w:val="24"/>
          <w:szCs w:val="24"/>
          <w:lang w:val="sr-Cyrl-RS"/>
        </w:rPr>
        <w:t>З</w:t>
      </w:r>
      <w:r>
        <w:rPr>
          <w:rFonts w:ascii="Times New Roman" w:hAnsi="Times New Roman" w:cs="Times New Roman"/>
          <w:sz w:val="24"/>
          <w:szCs w:val="24"/>
        </w:rPr>
        <w:t>акону</w:t>
      </w:r>
      <w:r w:rsidR="00934022">
        <w:rPr>
          <w:rFonts w:ascii="Times New Roman" w:hAnsi="Times New Roman" w:cs="Times New Roman"/>
          <w:sz w:val="24"/>
          <w:szCs w:val="24"/>
        </w:rPr>
        <w:t>. На тај начин п</w:t>
      </w:r>
      <w:r w:rsidR="000229D1">
        <w:rPr>
          <w:rFonts w:ascii="Times New Roman" w:hAnsi="Times New Roman" w:cs="Times New Roman"/>
          <w:sz w:val="24"/>
          <w:szCs w:val="24"/>
        </w:rPr>
        <w:t xml:space="preserve">оређење показатеља у првом полугодишту 2013. године </w:t>
      </w:r>
      <w:r w:rsidR="00934022">
        <w:rPr>
          <w:rFonts w:ascii="Times New Roman" w:hAnsi="Times New Roman" w:cs="Times New Roman"/>
          <w:sz w:val="24"/>
          <w:szCs w:val="24"/>
        </w:rPr>
        <w:t>са подацима за прво полугодиште 2014. год</w:t>
      </w:r>
      <w:r w:rsidR="008E372F">
        <w:rPr>
          <w:rFonts w:ascii="Times New Roman" w:hAnsi="Times New Roman" w:cs="Times New Roman"/>
          <w:sz w:val="24"/>
          <w:szCs w:val="24"/>
          <w:lang w:val="sr-Cyrl-RS"/>
        </w:rPr>
        <w:t>и</w:t>
      </w:r>
      <w:r w:rsidR="00934022">
        <w:rPr>
          <w:rFonts w:ascii="Times New Roman" w:hAnsi="Times New Roman" w:cs="Times New Roman"/>
          <w:sz w:val="24"/>
          <w:szCs w:val="24"/>
        </w:rPr>
        <w:t xml:space="preserve">не показује </w:t>
      </w:r>
      <w:r w:rsidR="00865EBD">
        <w:rPr>
          <w:rFonts w:ascii="Times New Roman" w:hAnsi="Times New Roman" w:cs="Times New Roman"/>
          <w:sz w:val="24"/>
          <w:szCs w:val="24"/>
        </w:rPr>
        <w:t xml:space="preserve">ефекте примене новог </w:t>
      </w:r>
      <w:r w:rsidR="00934022">
        <w:rPr>
          <w:rFonts w:ascii="Times New Roman" w:hAnsi="Times New Roman" w:cs="Times New Roman"/>
          <w:sz w:val="24"/>
          <w:szCs w:val="24"/>
        </w:rPr>
        <w:t xml:space="preserve">регулаторног и институционалног </w:t>
      </w:r>
      <w:r w:rsidR="008E372F">
        <w:rPr>
          <w:rFonts w:ascii="Times New Roman" w:hAnsi="Times New Roman" w:cs="Times New Roman"/>
          <w:sz w:val="24"/>
          <w:szCs w:val="24"/>
          <w:lang w:val="sr-Cyrl-RS"/>
        </w:rPr>
        <w:t>о</w:t>
      </w:r>
      <w:r w:rsidR="00934022">
        <w:rPr>
          <w:rFonts w:ascii="Times New Roman" w:hAnsi="Times New Roman" w:cs="Times New Roman"/>
          <w:sz w:val="24"/>
          <w:szCs w:val="24"/>
        </w:rPr>
        <w:t xml:space="preserve">квира. </w:t>
      </w:r>
      <w:r w:rsidR="008E372F">
        <w:rPr>
          <w:rFonts w:ascii="Times New Roman" w:hAnsi="Times New Roman" w:cs="Times New Roman"/>
          <w:sz w:val="24"/>
          <w:szCs w:val="24"/>
          <w:lang w:val="sr-Cyrl-RS"/>
        </w:rPr>
        <w:t>У овом извештају, п</w:t>
      </w:r>
      <w:r w:rsidR="00865EBD">
        <w:rPr>
          <w:rFonts w:ascii="Times New Roman" w:hAnsi="Times New Roman" w:cs="Times New Roman"/>
          <w:sz w:val="24"/>
          <w:szCs w:val="24"/>
        </w:rPr>
        <w:t xml:space="preserve">осебна пажња </w:t>
      </w:r>
      <w:r w:rsidR="009A6973">
        <w:rPr>
          <w:rFonts w:ascii="Times New Roman" w:hAnsi="Times New Roman" w:cs="Times New Roman"/>
          <w:sz w:val="24"/>
          <w:szCs w:val="24"/>
          <w:lang w:val="sr-Cyrl-RS"/>
        </w:rPr>
        <w:t xml:space="preserve">је </w:t>
      </w:r>
      <w:r w:rsidR="00865EBD">
        <w:rPr>
          <w:rFonts w:ascii="Times New Roman" w:hAnsi="Times New Roman" w:cs="Times New Roman"/>
          <w:sz w:val="24"/>
          <w:szCs w:val="24"/>
        </w:rPr>
        <w:t>посвећена показатељима примене начела обезбеђивања к</w:t>
      </w:r>
      <w:r w:rsidR="00121ED9">
        <w:rPr>
          <w:rFonts w:ascii="Times New Roman" w:hAnsi="Times New Roman" w:cs="Times New Roman"/>
          <w:sz w:val="24"/>
          <w:szCs w:val="24"/>
        </w:rPr>
        <w:t xml:space="preserve">онкуренције и </w:t>
      </w:r>
      <w:r w:rsidR="00865EBD">
        <w:rPr>
          <w:rFonts w:ascii="Times New Roman" w:hAnsi="Times New Roman" w:cs="Times New Roman"/>
          <w:sz w:val="24"/>
          <w:szCs w:val="24"/>
        </w:rPr>
        <w:t xml:space="preserve">начела </w:t>
      </w:r>
      <w:r w:rsidR="00121ED9">
        <w:rPr>
          <w:rFonts w:ascii="Times New Roman" w:hAnsi="Times New Roman" w:cs="Times New Roman"/>
          <w:sz w:val="24"/>
          <w:szCs w:val="24"/>
        </w:rPr>
        <w:t>транспарентности</w:t>
      </w:r>
      <w:r w:rsidR="00865EBD">
        <w:rPr>
          <w:rFonts w:ascii="Times New Roman" w:hAnsi="Times New Roman" w:cs="Times New Roman"/>
          <w:sz w:val="24"/>
          <w:szCs w:val="24"/>
        </w:rPr>
        <w:t xml:space="preserve"> поступака јавних набавки</w:t>
      </w:r>
      <w:r w:rsidR="00121ED9">
        <w:rPr>
          <w:rFonts w:ascii="Times New Roman" w:hAnsi="Times New Roman" w:cs="Times New Roman"/>
          <w:sz w:val="24"/>
          <w:szCs w:val="24"/>
        </w:rPr>
        <w:t xml:space="preserve">.  </w:t>
      </w:r>
    </w:p>
    <w:p w:rsidR="009A6064" w:rsidRPr="009A6064" w:rsidRDefault="00934022" w:rsidP="003E775D">
      <w:pPr>
        <w:jc w:val="both"/>
        <w:rPr>
          <w:rFonts w:ascii="Times New Roman" w:hAnsi="Times New Roman" w:cs="Times New Roman"/>
          <w:sz w:val="24"/>
          <w:szCs w:val="24"/>
        </w:rPr>
      </w:pPr>
      <w:r>
        <w:rPr>
          <w:rFonts w:ascii="Times New Roman" w:hAnsi="Times New Roman" w:cs="Times New Roman"/>
          <w:sz w:val="24"/>
          <w:szCs w:val="24"/>
        </w:rPr>
        <w:t xml:space="preserve">У првом полугодишту 2014. године </w:t>
      </w:r>
      <w:r w:rsidR="00BD2B9B">
        <w:rPr>
          <w:rFonts w:ascii="Times New Roman" w:hAnsi="Times New Roman" w:cs="Times New Roman"/>
          <w:sz w:val="24"/>
          <w:szCs w:val="24"/>
        </w:rPr>
        <w:t>извештај</w:t>
      </w:r>
      <w:r w:rsidR="009A6064">
        <w:rPr>
          <w:rFonts w:ascii="Times New Roman" w:hAnsi="Times New Roman" w:cs="Times New Roman"/>
          <w:sz w:val="24"/>
          <w:szCs w:val="24"/>
        </w:rPr>
        <w:t xml:space="preserve"> о јавним набавкама доставило </w:t>
      </w:r>
      <w:r w:rsidR="009A6064" w:rsidRPr="009A6064">
        <w:rPr>
          <w:rFonts w:ascii="Times New Roman" w:hAnsi="Times New Roman" w:cs="Times New Roman"/>
          <w:sz w:val="24"/>
          <w:szCs w:val="24"/>
        </w:rPr>
        <w:t xml:space="preserve">је </w:t>
      </w:r>
      <w:r w:rsidR="00E6462F" w:rsidRPr="00A47EA4">
        <w:rPr>
          <w:rFonts w:ascii="Times New Roman" w:hAnsi="Times New Roman" w:cs="Times New Roman"/>
          <w:sz w:val="24"/>
          <w:szCs w:val="24"/>
          <w:lang w:val="sr-Cyrl-CS"/>
        </w:rPr>
        <w:t>4.843</w:t>
      </w:r>
      <w:r w:rsidR="009A6064">
        <w:rPr>
          <w:rFonts w:ascii="Times New Roman" w:hAnsi="Times New Roman" w:cs="Times New Roman"/>
          <w:sz w:val="24"/>
          <w:szCs w:val="24"/>
        </w:rPr>
        <w:t xml:space="preserve"> наручилаца, док је у истом периоду 2013. године тај број </w:t>
      </w:r>
      <w:r w:rsidR="00BF2946">
        <w:rPr>
          <w:rFonts w:ascii="Times New Roman" w:hAnsi="Times New Roman" w:cs="Times New Roman"/>
          <w:sz w:val="24"/>
          <w:szCs w:val="24"/>
        </w:rPr>
        <w:t xml:space="preserve">износио </w:t>
      </w:r>
      <w:r w:rsidR="009A6064" w:rsidRPr="009A6064">
        <w:rPr>
          <w:rFonts w:ascii="Times New Roman" w:hAnsi="Times New Roman" w:cs="Times New Roman"/>
          <w:sz w:val="24"/>
          <w:szCs w:val="24"/>
        </w:rPr>
        <w:t>3.109</w:t>
      </w:r>
      <w:r w:rsidR="009A6064">
        <w:rPr>
          <w:rFonts w:ascii="Times New Roman" w:hAnsi="Times New Roman" w:cs="Times New Roman"/>
          <w:sz w:val="24"/>
          <w:szCs w:val="24"/>
        </w:rPr>
        <w:t xml:space="preserve">, што значи да се број наручилаца који подноси извештаје </w:t>
      </w:r>
      <w:r w:rsidR="0017767B">
        <w:rPr>
          <w:rFonts w:ascii="Times New Roman" w:hAnsi="Times New Roman" w:cs="Times New Roman"/>
          <w:sz w:val="24"/>
          <w:szCs w:val="24"/>
          <w:lang w:val="sr-Cyrl-RS"/>
        </w:rPr>
        <w:t>Управи</w:t>
      </w:r>
      <w:r w:rsidR="009A6064">
        <w:rPr>
          <w:rFonts w:ascii="Times New Roman" w:hAnsi="Times New Roman" w:cs="Times New Roman"/>
          <w:sz w:val="24"/>
          <w:szCs w:val="24"/>
        </w:rPr>
        <w:t xml:space="preserve"> повећао за 56% у односу на 2013. годину. Већа дисциплина у извештавању </w:t>
      </w:r>
      <w:r w:rsidR="00F37798">
        <w:rPr>
          <w:rFonts w:ascii="Times New Roman" w:hAnsi="Times New Roman" w:cs="Times New Roman"/>
          <w:sz w:val="24"/>
          <w:szCs w:val="24"/>
          <w:lang w:val="sr-Cyrl-RS"/>
        </w:rPr>
        <w:t xml:space="preserve">превасходно је </w:t>
      </w:r>
      <w:r w:rsidR="009A6064">
        <w:rPr>
          <w:rFonts w:ascii="Times New Roman" w:hAnsi="Times New Roman" w:cs="Times New Roman"/>
          <w:sz w:val="24"/>
          <w:szCs w:val="24"/>
        </w:rPr>
        <w:t xml:space="preserve">резултат активности </w:t>
      </w:r>
      <w:r w:rsidR="0017767B">
        <w:rPr>
          <w:rFonts w:ascii="Times New Roman" w:hAnsi="Times New Roman" w:cs="Times New Roman"/>
          <w:sz w:val="24"/>
          <w:szCs w:val="24"/>
          <w:lang w:val="sr-Cyrl-RS"/>
        </w:rPr>
        <w:t>Управе</w:t>
      </w:r>
      <w:r w:rsidR="009A6064">
        <w:rPr>
          <w:rFonts w:ascii="Times New Roman" w:hAnsi="Times New Roman" w:cs="Times New Roman"/>
          <w:sz w:val="24"/>
          <w:szCs w:val="24"/>
        </w:rPr>
        <w:t xml:space="preserve"> кроз примену нових механизама и овлашћења која су јој стављена на располагање, укључујући и подношење прекршајних пријава против одговорних </w:t>
      </w:r>
      <w:r w:rsidR="00DB02D0">
        <w:rPr>
          <w:rFonts w:ascii="Times New Roman" w:hAnsi="Times New Roman" w:cs="Times New Roman"/>
          <w:sz w:val="24"/>
          <w:szCs w:val="24"/>
        </w:rPr>
        <w:t xml:space="preserve">лица наручилаца због </w:t>
      </w:r>
      <w:r w:rsidR="00DB7C88">
        <w:rPr>
          <w:rFonts w:ascii="Times New Roman" w:hAnsi="Times New Roman" w:cs="Times New Roman"/>
          <w:sz w:val="24"/>
          <w:szCs w:val="24"/>
          <w:lang w:val="sr-Cyrl-RS"/>
        </w:rPr>
        <w:t>недостављања</w:t>
      </w:r>
      <w:r w:rsidR="009A6064">
        <w:rPr>
          <w:rFonts w:ascii="Times New Roman" w:hAnsi="Times New Roman" w:cs="Times New Roman"/>
          <w:sz w:val="24"/>
          <w:szCs w:val="24"/>
        </w:rPr>
        <w:t xml:space="preserve"> кварталних извештаја.   </w:t>
      </w:r>
    </w:p>
    <w:p w:rsidR="00934022" w:rsidRPr="00934022" w:rsidRDefault="00D97169" w:rsidP="003E775D">
      <w:pPr>
        <w:jc w:val="both"/>
        <w:rPr>
          <w:rFonts w:ascii="Times New Roman" w:hAnsi="Times New Roman" w:cs="Times New Roman"/>
          <w:sz w:val="24"/>
          <w:szCs w:val="24"/>
        </w:rPr>
      </w:pPr>
      <w:r>
        <w:rPr>
          <w:rFonts w:ascii="Times New Roman" w:hAnsi="Times New Roman" w:cs="Times New Roman"/>
          <w:sz w:val="24"/>
          <w:szCs w:val="24"/>
        </w:rPr>
        <w:t xml:space="preserve">Јачање дисциплине у извештавању је важан показатељ успостављања ефикаснијег надзора над применом Закона, као и битан предуслов за успостављање пуне примене </w:t>
      </w:r>
      <w:r w:rsidR="0017767B">
        <w:rPr>
          <w:rFonts w:ascii="Times New Roman" w:hAnsi="Times New Roman" w:cs="Times New Roman"/>
          <w:sz w:val="24"/>
          <w:szCs w:val="24"/>
          <w:lang w:val="sr-Cyrl-RS"/>
        </w:rPr>
        <w:t>Закона</w:t>
      </w:r>
      <w:r>
        <w:rPr>
          <w:rFonts w:ascii="Times New Roman" w:hAnsi="Times New Roman" w:cs="Times New Roman"/>
          <w:sz w:val="24"/>
          <w:szCs w:val="24"/>
        </w:rPr>
        <w:t xml:space="preserve">. </w:t>
      </w:r>
    </w:p>
    <w:p w:rsidR="00EF35D1" w:rsidRDefault="00121ED9" w:rsidP="003E775D">
      <w:pPr>
        <w:jc w:val="both"/>
        <w:rPr>
          <w:rFonts w:ascii="Times New Roman" w:hAnsi="Times New Roman" w:cs="Times New Roman"/>
          <w:sz w:val="24"/>
          <w:szCs w:val="24"/>
        </w:rPr>
      </w:pPr>
      <w:r>
        <w:rPr>
          <w:rFonts w:ascii="Times New Roman" w:hAnsi="Times New Roman" w:cs="Times New Roman"/>
          <w:sz w:val="24"/>
          <w:szCs w:val="24"/>
        </w:rPr>
        <w:t>Р</w:t>
      </w:r>
      <w:r w:rsidR="00EF35D1" w:rsidRPr="00EF35D1">
        <w:rPr>
          <w:rFonts w:ascii="Times New Roman" w:hAnsi="Times New Roman" w:cs="Times New Roman"/>
          <w:sz w:val="24"/>
          <w:szCs w:val="24"/>
        </w:rPr>
        <w:t>егистрована вредност јавних набавки</w:t>
      </w:r>
      <w:r w:rsidR="007B26D5">
        <w:rPr>
          <w:rFonts w:ascii="Times New Roman" w:hAnsi="Times New Roman" w:cs="Times New Roman"/>
          <w:sz w:val="24"/>
          <w:szCs w:val="24"/>
        </w:rPr>
        <w:t xml:space="preserve"> у </w:t>
      </w:r>
      <w:r w:rsidR="006847E4">
        <w:rPr>
          <w:rFonts w:ascii="Times New Roman" w:hAnsi="Times New Roman" w:cs="Times New Roman"/>
          <w:sz w:val="24"/>
          <w:szCs w:val="24"/>
        </w:rPr>
        <w:t xml:space="preserve">првом полугодишту (1П) </w:t>
      </w:r>
      <w:r w:rsidR="007B26D5">
        <w:rPr>
          <w:rFonts w:ascii="Times New Roman" w:hAnsi="Times New Roman" w:cs="Times New Roman"/>
          <w:sz w:val="24"/>
          <w:szCs w:val="24"/>
        </w:rPr>
        <w:t>201</w:t>
      </w:r>
      <w:r w:rsidR="006847E4">
        <w:rPr>
          <w:rFonts w:ascii="Times New Roman" w:hAnsi="Times New Roman" w:cs="Times New Roman"/>
          <w:sz w:val="24"/>
          <w:szCs w:val="24"/>
        </w:rPr>
        <w:t>4. године</w:t>
      </w:r>
      <w:r>
        <w:rPr>
          <w:rFonts w:ascii="Times New Roman" w:hAnsi="Times New Roman" w:cs="Times New Roman"/>
          <w:sz w:val="24"/>
          <w:szCs w:val="24"/>
        </w:rPr>
        <w:t xml:space="preserve"> износила је </w:t>
      </w:r>
      <w:r w:rsidR="002C51E3" w:rsidRPr="00A47EA4">
        <w:rPr>
          <w:rFonts w:ascii="Times New Roman" w:hAnsi="Times New Roman" w:cs="Times New Roman"/>
          <w:sz w:val="24"/>
          <w:szCs w:val="24"/>
          <w:lang w:val="sr-Cyrl-RS"/>
        </w:rPr>
        <w:t>147</w:t>
      </w:r>
      <w:r w:rsidRPr="00A47EA4">
        <w:rPr>
          <w:rFonts w:ascii="Times New Roman" w:hAnsi="Times New Roman" w:cs="Times New Roman"/>
          <w:sz w:val="24"/>
          <w:szCs w:val="24"/>
        </w:rPr>
        <w:t xml:space="preserve"> </w:t>
      </w:r>
      <w:r>
        <w:rPr>
          <w:rFonts w:ascii="Times New Roman" w:hAnsi="Times New Roman" w:cs="Times New Roman"/>
          <w:sz w:val="24"/>
          <w:szCs w:val="24"/>
        </w:rPr>
        <w:t>милијарди динара</w:t>
      </w:r>
      <w:r w:rsidR="006847E4">
        <w:rPr>
          <w:rFonts w:ascii="Times New Roman" w:hAnsi="Times New Roman" w:cs="Times New Roman"/>
          <w:sz w:val="24"/>
          <w:szCs w:val="24"/>
        </w:rPr>
        <w:t>,</w:t>
      </w:r>
      <w:r>
        <w:rPr>
          <w:rFonts w:ascii="Times New Roman" w:hAnsi="Times New Roman" w:cs="Times New Roman"/>
          <w:sz w:val="24"/>
          <w:szCs w:val="24"/>
        </w:rPr>
        <w:t xml:space="preserve"> што је </w:t>
      </w:r>
      <w:r w:rsidR="006847E4">
        <w:rPr>
          <w:rFonts w:ascii="Times New Roman" w:hAnsi="Times New Roman" w:cs="Times New Roman"/>
          <w:sz w:val="24"/>
          <w:szCs w:val="24"/>
        </w:rPr>
        <w:t>више него у истом периоду 2013. године (131</w:t>
      </w:r>
      <w:r>
        <w:rPr>
          <w:rFonts w:ascii="Times New Roman" w:hAnsi="Times New Roman" w:cs="Times New Roman"/>
          <w:sz w:val="24"/>
          <w:szCs w:val="24"/>
        </w:rPr>
        <w:t xml:space="preserve"> милијард</w:t>
      </w:r>
      <w:r w:rsidR="006847E4">
        <w:rPr>
          <w:rFonts w:ascii="Times New Roman" w:hAnsi="Times New Roman" w:cs="Times New Roman"/>
          <w:sz w:val="24"/>
          <w:szCs w:val="24"/>
        </w:rPr>
        <w:t>а</w:t>
      </w:r>
      <w:r>
        <w:rPr>
          <w:rFonts w:ascii="Times New Roman" w:hAnsi="Times New Roman" w:cs="Times New Roman"/>
          <w:sz w:val="24"/>
          <w:szCs w:val="24"/>
        </w:rPr>
        <w:t xml:space="preserve"> динара</w:t>
      </w:r>
      <w:r w:rsidR="006847E4">
        <w:rPr>
          <w:rFonts w:ascii="Times New Roman" w:hAnsi="Times New Roman" w:cs="Times New Roman"/>
          <w:sz w:val="24"/>
          <w:szCs w:val="24"/>
        </w:rPr>
        <w:t>). Кретање вредности регистрованих јавних набавки, као и просечне вредно</w:t>
      </w:r>
      <w:r w:rsidR="00BD4A6E">
        <w:rPr>
          <w:rFonts w:ascii="Times New Roman" w:hAnsi="Times New Roman" w:cs="Times New Roman"/>
          <w:sz w:val="24"/>
          <w:szCs w:val="24"/>
        </w:rPr>
        <w:t>сти уговора о јавној набавци</w:t>
      </w:r>
      <w:r w:rsidR="00BD4A6E">
        <w:rPr>
          <w:rFonts w:ascii="Times New Roman" w:hAnsi="Times New Roman" w:cs="Times New Roman"/>
          <w:sz w:val="24"/>
          <w:szCs w:val="24"/>
          <w:lang w:val="sr-Cyrl-RS"/>
        </w:rPr>
        <w:t xml:space="preserve"> </w:t>
      </w:r>
      <w:r w:rsidR="006847E4">
        <w:rPr>
          <w:rFonts w:ascii="Times New Roman" w:hAnsi="Times New Roman" w:cs="Times New Roman"/>
          <w:sz w:val="24"/>
          <w:szCs w:val="24"/>
        </w:rPr>
        <w:t>по годинама</w:t>
      </w:r>
      <w:r w:rsidR="00BD4A6E">
        <w:rPr>
          <w:rFonts w:ascii="Times New Roman" w:hAnsi="Times New Roman" w:cs="Times New Roman"/>
          <w:sz w:val="24"/>
          <w:szCs w:val="24"/>
          <w:lang w:val="sr-Cyrl-RS"/>
        </w:rPr>
        <w:t>,</w:t>
      </w:r>
      <w:r w:rsidR="006847E4">
        <w:rPr>
          <w:rFonts w:ascii="Times New Roman" w:hAnsi="Times New Roman" w:cs="Times New Roman"/>
          <w:sz w:val="24"/>
          <w:szCs w:val="24"/>
        </w:rPr>
        <w:t xml:space="preserve"> приказано је у Табели 1. </w:t>
      </w:r>
    </w:p>
    <w:p w:rsidR="00836A7B" w:rsidRDefault="00836A7B" w:rsidP="007652C6">
      <w:pPr>
        <w:jc w:val="both"/>
        <w:rPr>
          <w:rFonts w:ascii="Times New Roman" w:hAnsi="Times New Roman" w:cs="Times New Roman"/>
          <w:sz w:val="24"/>
          <w:szCs w:val="24"/>
        </w:rPr>
      </w:pPr>
    </w:p>
    <w:p w:rsidR="00836A7B" w:rsidRDefault="00836A7B" w:rsidP="007652C6">
      <w:pPr>
        <w:jc w:val="both"/>
        <w:rPr>
          <w:rFonts w:ascii="Times New Roman" w:hAnsi="Times New Roman" w:cs="Times New Roman"/>
          <w:sz w:val="24"/>
          <w:szCs w:val="24"/>
        </w:rPr>
      </w:pPr>
    </w:p>
    <w:p w:rsidR="00836A7B" w:rsidRDefault="00836A7B" w:rsidP="007652C6">
      <w:pPr>
        <w:jc w:val="both"/>
        <w:rPr>
          <w:rFonts w:ascii="Times New Roman" w:hAnsi="Times New Roman" w:cs="Times New Roman"/>
          <w:sz w:val="24"/>
          <w:szCs w:val="24"/>
        </w:rPr>
      </w:pPr>
    </w:p>
    <w:p w:rsidR="00836A7B" w:rsidRDefault="00836A7B" w:rsidP="007652C6">
      <w:pPr>
        <w:jc w:val="both"/>
        <w:rPr>
          <w:rFonts w:ascii="Times New Roman" w:hAnsi="Times New Roman" w:cs="Times New Roman"/>
          <w:sz w:val="24"/>
          <w:szCs w:val="24"/>
        </w:rPr>
      </w:pPr>
    </w:p>
    <w:p w:rsidR="00F972A0" w:rsidRDefault="00F972A0" w:rsidP="007652C6">
      <w:pPr>
        <w:jc w:val="both"/>
        <w:rPr>
          <w:rFonts w:ascii="Times New Roman" w:hAnsi="Times New Roman" w:cs="Times New Roman"/>
          <w:sz w:val="24"/>
          <w:szCs w:val="24"/>
        </w:rPr>
      </w:pPr>
    </w:p>
    <w:p w:rsidR="00F972A0" w:rsidRDefault="00F972A0" w:rsidP="007652C6">
      <w:pPr>
        <w:jc w:val="both"/>
        <w:rPr>
          <w:rFonts w:ascii="Times New Roman" w:hAnsi="Times New Roman" w:cs="Times New Roman"/>
          <w:sz w:val="24"/>
          <w:szCs w:val="24"/>
        </w:rPr>
      </w:pPr>
    </w:p>
    <w:p w:rsidR="00F972A0" w:rsidRDefault="00F972A0" w:rsidP="007652C6">
      <w:pPr>
        <w:jc w:val="both"/>
        <w:rPr>
          <w:rFonts w:ascii="Times New Roman" w:hAnsi="Times New Roman" w:cs="Times New Roman"/>
          <w:sz w:val="24"/>
          <w:szCs w:val="24"/>
        </w:rPr>
      </w:pPr>
    </w:p>
    <w:p w:rsidR="00F506EB" w:rsidRDefault="00F506EB" w:rsidP="007652C6">
      <w:pPr>
        <w:jc w:val="both"/>
        <w:rPr>
          <w:rFonts w:ascii="Times New Roman" w:hAnsi="Times New Roman" w:cs="Times New Roman"/>
          <w:sz w:val="24"/>
          <w:szCs w:val="24"/>
        </w:rPr>
        <w:sectPr w:rsidR="00F506EB" w:rsidSect="00F972A0">
          <w:pgSz w:w="12240" w:h="15840"/>
          <w:pgMar w:top="720" w:right="720" w:bottom="720" w:left="720" w:header="708" w:footer="708" w:gutter="0"/>
          <w:cols w:space="708"/>
          <w:docGrid w:linePitch="360"/>
        </w:sectPr>
      </w:pPr>
    </w:p>
    <w:p w:rsidR="008471E3" w:rsidRPr="00105CEE" w:rsidRDefault="00092EBD">
      <w:pPr>
        <w:rPr>
          <w:rFonts w:ascii="Times New Roman" w:hAnsi="Times New Roman" w:cs="Times New Roman"/>
          <w:b/>
          <w:sz w:val="24"/>
          <w:szCs w:val="24"/>
        </w:rPr>
      </w:pPr>
      <w:r>
        <w:rPr>
          <w:rFonts w:ascii="Times New Roman" w:hAnsi="Times New Roman" w:cs="Times New Roman"/>
          <w:b/>
          <w:sz w:val="24"/>
          <w:szCs w:val="24"/>
          <w:lang w:val="sr-Cyrl-RS"/>
        </w:rPr>
        <w:lastRenderedPageBreak/>
        <w:t xml:space="preserve">        </w:t>
      </w:r>
      <w:r w:rsidR="000B4B53" w:rsidRPr="00105CEE">
        <w:rPr>
          <w:rFonts w:ascii="Times New Roman" w:hAnsi="Times New Roman" w:cs="Times New Roman"/>
          <w:b/>
          <w:sz w:val="24"/>
          <w:szCs w:val="24"/>
        </w:rPr>
        <w:t>Табела 1</w:t>
      </w:r>
    </w:p>
    <w:tbl>
      <w:tblPr>
        <w:tblW w:w="13591" w:type="dxa"/>
        <w:jc w:val="center"/>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9"/>
        <w:gridCol w:w="936"/>
        <w:gridCol w:w="1016"/>
        <w:gridCol w:w="1016"/>
        <w:gridCol w:w="1016"/>
        <w:gridCol w:w="1016"/>
        <w:gridCol w:w="1016"/>
        <w:gridCol w:w="1016"/>
        <w:gridCol w:w="1016"/>
        <w:gridCol w:w="1016"/>
        <w:gridCol w:w="1016"/>
        <w:gridCol w:w="1016"/>
        <w:gridCol w:w="1106"/>
      </w:tblGrid>
      <w:tr w:rsidR="008042DF" w:rsidRPr="008042DF" w:rsidTr="000A3876">
        <w:trPr>
          <w:trHeight w:val="272"/>
          <w:jc w:val="center"/>
        </w:trPr>
        <w:tc>
          <w:tcPr>
            <w:tcW w:w="13591" w:type="dxa"/>
            <w:gridSpan w:val="13"/>
            <w:tcBorders>
              <w:top w:val="single" w:sz="4" w:space="0" w:color="auto"/>
              <w:left w:val="single" w:sz="4" w:space="0" w:color="auto"/>
              <w:bottom w:val="single" w:sz="4" w:space="0" w:color="auto"/>
              <w:right w:val="single" w:sz="4" w:space="0" w:color="auto"/>
            </w:tcBorders>
            <w:vAlign w:val="center"/>
          </w:tcPr>
          <w:p w:rsidR="008042DF" w:rsidRPr="008042DF" w:rsidRDefault="008042DF" w:rsidP="008042DF">
            <w:pPr>
              <w:tabs>
                <w:tab w:val="left" w:pos="3622"/>
              </w:tabs>
              <w:spacing w:after="0" w:line="240" w:lineRule="auto"/>
              <w:jc w:val="center"/>
              <w:rPr>
                <w:rFonts w:ascii="Times New Roman" w:eastAsia="Times New Roman" w:hAnsi="Times New Roman" w:cs="Times New Roman"/>
                <w:b/>
                <w:sz w:val="16"/>
                <w:szCs w:val="16"/>
              </w:rPr>
            </w:pPr>
          </w:p>
          <w:p w:rsidR="008042DF" w:rsidRPr="000A3876" w:rsidRDefault="008042DF" w:rsidP="002D62A8">
            <w:pPr>
              <w:tabs>
                <w:tab w:val="left" w:pos="3622"/>
              </w:tabs>
              <w:spacing w:after="0" w:line="240" w:lineRule="auto"/>
              <w:jc w:val="center"/>
              <w:rPr>
                <w:rFonts w:ascii="Times New Roman" w:eastAsia="Times New Roman" w:hAnsi="Times New Roman" w:cs="Times New Roman"/>
                <w:b/>
                <w:sz w:val="24"/>
                <w:szCs w:val="24"/>
                <w:lang w:val="sr-Cyrl-RS"/>
              </w:rPr>
            </w:pPr>
            <w:r w:rsidRPr="000A3876">
              <w:rPr>
                <w:rFonts w:ascii="Times New Roman" w:eastAsia="Times New Roman" w:hAnsi="Times New Roman" w:cs="Times New Roman"/>
                <w:b/>
                <w:sz w:val="24"/>
                <w:szCs w:val="24"/>
              </w:rPr>
              <w:t>Упоредни преглед закључених уговора о јавним набавкама</w:t>
            </w:r>
          </w:p>
          <w:p w:rsidR="000A3876" w:rsidRPr="000A3876" w:rsidRDefault="000A3876" w:rsidP="002D62A8">
            <w:pPr>
              <w:tabs>
                <w:tab w:val="left" w:pos="3622"/>
              </w:tabs>
              <w:spacing w:after="0" w:line="240" w:lineRule="auto"/>
              <w:jc w:val="center"/>
              <w:rPr>
                <w:rFonts w:ascii="Times New Roman" w:eastAsia="Times New Roman" w:hAnsi="Times New Roman" w:cs="Times New Roman"/>
                <w:b/>
                <w:sz w:val="16"/>
                <w:szCs w:val="16"/>
                <w:lang w:val="sr-Cyrl-RS"/>
              </w:rPr>
            </w:pPr>
          </w:p>
        </w:tc>
      </w:tr>
      <w:tr w:rsidR="008042DF" w:rsidRPr="008042DF" w:rsidTr="000A3876">
        <w:trPr>
          <w:trHeight w:val="490"/>
          <w:jc w:val="center"/>
        </w:trPr>
        <w:tc>
          <w:tcPr>
            <w:tcW w:w="1389" w:type="dxa"/>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b/>
                <w:sz w:val="20"/>
                <w:szCs w:val="20"/>
              </w:rPr>
            </w:pPr>
            <w:r w:rsidRPr="008042DF">
              <w:rPr>
                <w:rFonts w:ascii="Times New Roman" w:eastAsia="Times New Roman" w:hAnsi="Times New Roman" w:cs="Times New Roman"/>
                <w:b/>
                <w:sz w:val="20"/>
                <w:szCs w:val="20"/>
              </w:rPr>
              <w:t>Година</w:t>
            </w:r>
          </w:p>
        </w:tc>
        <w:tc>
          <w:tcPr>
            <w:tcW w:w="936" w:type="dxa"/>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b/>
                <w:sz w:val="20"/>
                <w:szCs w:val="20"/>
              </w:rPr>
            </w:pPr>
            <w:r w:rsidRPr="008042DF">
              <w:rPr>
                <w:rFonts w:ascii="Times New Roman" w:eastAsia="Times New Roman" w:hAnsi="Times New Roman" w:cs="Times New Roman"/>
                <w:b/>
                <w:sz w:val="20"/>
                <w:szCs w:val="20"/>
              </w:rPr>
              <w:t>2003.</w:t>
            </w:r>
          </w:p>
        </w:tc>
        <w:tc>
          <w:tcPr>
            <w:tcW w:w="1016" w:type="dxa"/>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b/>
                <w:sz w:val="20"/>
                <w:szCs w:val="20"/>
              </w:rPr>
            </w:pPr>
            <w:r w:rsidRPr="008042DF">
              <w:rPr>
                <w:rFonts w:ascii="Times New Roman" w:eastAsia="Times New Roman" w:hAnsi="Times New Roman" w:cs="Times New Roman"/>
                <w:b/>
                <w:sz w:val="20"/>
                <w:szCs w:val="20"/>
              </w:rPr>
              <w:t>2004.</w:t>
            </w:r>
          </w:p>
        </w:tc>
        <w:tc>
          <w:tcPr>
            <w:tcW w:w="1016" w:type="dxa"/>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b/>
                <w:sz w:val="20"/>
                <w:szCs w:val="20"/>
              </w:rPr>
            </w:pPr>
            <w:r w:rsidRPr="008042DF">
              <w:rPr>
                <w:rFonts w:ascii="Times New Roman" w:eastAsia="Times New Roman" w:hAnsi="Times New Roman" w:cs="Times New Roman"/>
                <w:b/>
                <w:sz w:val="20"/>
                <w:szCs w:val="20"/>
              </w:rPr>
              <w:t>2005.</w:t>
            </w:r>
          </w:p>
        </w:tc>
        <w:tc>
          <w:tcPr>
            <w:tcW w:w="1016" w:type="dxa"/>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b/>
                <w:sz w:val="20"/>
                <w:szCs w:val="20"/>
              </w:rPr>
            </w:pPr>
            <w:r w:rsidRPr="008042DF">
              <w:rPr>
                <w:rFonts w:ascii="Times New Roman" w:eastAsia="Times New Roman" w:hAnsi="Times New Roman" w:cs="Times New Roman"/>
                <w:b/>
                <w:sz w:val="20"/>
                <w:szCs w:val="20"/>
              </w:rPr>
              <w:t>2006.</w:t>
            </w:r>
          </w:p>
        </w:tc>
        <w:tc>
          <w:tcPr>
            <w:tcW w:w="1016" w:type="dxa"/>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b/>
                <w:sz w:val="20"/>
                <w:szCs w:val="20"/>
              </w:rPr>
            </w:pPr>
            <w:r w:rsidRPr="008042DF">
              <w:rPr>
                <w:rFonts w:ascii="Times New Roman" w:eastAsia="Times New Roman" w:hAnsi="Times New Roman" w:cs="Times New Roman"/>
                <w:b/>
                <w:sz w:val="20"/>
                <w:szCs w:val="20"/>
              </w:rPr>
              <w:t>2007.</w:t>
            </w:r>
          </w:p>
        </w:tc>
        <w:tc>
          <w:tcPr>
            <w:tcW w:w="1016" w:type="dxa"/>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b/>
                <w:sz w:val="20"/>
                <w:szCs w:val="20"/>
              </w:rPr>
            </w:pPr>
            <w:r w:rsidRPr="008042DF">
              <w:rPr>
                <w:rFonts w:ascii="Times New Roman" w:eastAsia="Times New Roman" w:hAnsi="Times New Roman" w:cs="Times New Roman"/>
                <w:b/>
                <w:sz w:val="20"/>
                <w:szCs w:val="20"/>
              </w:rPr>
              <w:t>2008.</w:t>
            </w:r>
          </w:p>
        </w:tc>
        <w:tc>
          <w:tcPr>
            <w:tcW w:w="0" w:type="auto"/>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b/>
                <w:sz w:val="20"/>
                <w:szCs w:val="20"/>
              </w:rPr>
            </w:pPr>
            <w:r w:rsidRPr="008042DF">
              <w:rPr>
                <w:rFonts w:ascii="Times New Roman" w:eastAsia="Times New Roman" w:hAnsi="Times New Roman" w:cs="Times New Roman"/>
                <w:b/>
                <w:sz w:val="20"/>
                <w:szCs w:val="20"/>
              </w:rPr>
              <w:t>2009.</w:t>
            </w:r>
          </w:p>
        </w:tc>
        <w:tc>
          <w:tcPr>
            <w:tcW w:w="0" w:type="auto"/>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b/>
                <w:sz w:val="20"/>
                <w:szCs w:val="20"/>
              </w:rPr>
            </w:pPr>
            <w:r w:rsidRPr="008042DF">
              <w:rPr>
                <w:rFonts w:ascii="Times New Roman" w:eastAsia="Times New Roman" w:hAnsi="Times New Roman" w:cs="Times New Roman"/>
                <w:b/>
                <w:sz w:val="20"/>
                <w:szCs w:val="20"/>
              </w:rPr>
              <w:t>2010.</w:t>
            </w:r>
          </w:p>
        </w:tc>
        <w:tc>
          <w:tcPr>
            <w:tcW w:w="0" w:type="auto"/>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b/>
                <w:sz w:val="20"/>
                <w:szCs w:val="20"/>
              </w:rPr>
            </w:pPr>
            <w:r w:rsidRPr="008042DF">
              <w:rPr>
                <w:rFonts w:ascii="Times New Roman" w:eastAsia="Times New Roman" w:hAnsi="Times New Roman" w:cs="Times New Roman"/>
                <w:b/>
                <w:sz w:val="20"/>
                <w:szCs w:val="20"/>
              </w:rPr>
              <w:t>2011.</w:t>
            </w:r>
          </w:p>
        </w:tc>
        <w:tc>
          <w:tcPr>
            <w:tcW w:w="0" w:type="auto"/>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b/>
                <w:sz w:val="20"/>
                <w:szCs w:val="20"/>
              </w:rPr>
            </w:pPr>
            <w:r w:rsidRPr="008042DF">
              <w:rPr>
                <w:rFonts w:ascii="Times New Roman" w:eastAsia="Times New Roman" w:hAnsi="Times New Roman" w:cs="Times New Roman"/>
                <w:b/>
                <w:sz w:val="20"/>
                <w:szCs w:val="20"/>
              </w:rPr>
              <w:t>2012.</w:t>
            </w:r>
          </w:p>
        </w:tc>
        <w:tc>
          <w:tcPr>
            <w:tcW w:w="1016" w:type="dxa"/>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b/>
                <w:sz w:val="20"/>
                <w:szCs w:val="20"/>
              </w:rPr>
            </w:pPr>
            <w:r w:rsidRPr="008042DF">
              <w:rPr>
                <w:rFonts w:ascii="Times New Roman" w:eastAsia="Times New Roman" w:hAnsi="Times New Roman" w:cs="Times New Roman"/>
                <w:b/>
                <w:sz w:val="20"/>
                <w:szCs w:val="20"/>
              </w:rPr>
              <w:t>2013.</w:t>
            </w:r>
          </w:p>
        </w:tc>
        <w:tc>
          <w:tcPr>
            <w:tcW w:w="1106" w:type="dxa"/>
            <w:tcBorders>
              <w:top w:val="single" w:sz="4" w:space="0" w:color="auto"/>
              <w:left w:val="single" w:sz="4" w:space="0" w:color="auto"/>
              <w:bottom w:val="single" w:sz="4" w:space="0" w:color="auto"/>
              <w:right w:val="single" w:sz="4" w:space="0" w:color="auto"/>
            </w:tcBorders>
            <w:vAlign w:val="center"/>
          </w:tcPr>
          <w:p w:rsidR="008042DF" w:rsidRPr="009B6DB4" w:rsidRDefault="008042DF" w:rsidP="00D97169">
            <w:pPr>
              <w:tabs>
                <w:tab w:val="left" w:pos="3622"/>
              </w:tabs>
              <w:spacing w:after="0" w:line="240" w:lineRule="auto"/>
              <w:jc w:val="center"/>
              <w:rPr>
                <w:rFonts w:ascii="Times New Roman" w:eastAsia="Times New Roman" w:hAnsi="Times New Roman" w:cs="Times New Roman"/>
                <w:b/>
                <w:sz w:val="20"/>
                <w:szCs w:val="20"/>
              </w:rPr>
            </w:pPr>
            <w:r w:rsidRPr="009B6DB4">
              <w:rPr>
                <w:rFonts w:ascii="Times New Roman" w:eastAsia="Times New Roman" w:hAnsi="Times New Roman" w:cs="Times New Roman"/>
                <w:b/>
                <w:sz w:val="20"/>
                <w:szCs w:val="20"/>
              </w:rPr>
              <w:t>1</w:t>
            </w:r>
            <w:r w:rsidR="00D97169" w:rsidRPr="009B6DB4">
              <w:rPr>
                <w:rFonts w:ascii="Times New Roman" w:eastAsia="Times New Roman" w:hAnsi="Times New Roman" w:cs="Times New Roman"/>
                <w:b/>
                <w:sz w:val="20"/>
                <w:szCs w:val="20"/>
              </w:rPr>
              <w:t>П</w:t>
            </w:r>
            <w:r w:rsidRPr="009B6DB4">
              <w:rPr>
                <w:rFonts w:ascii="Times New Roman" w:eastAsia="Times New Roman" w:hAnsi="Times New Roman" w:cs="Times New Roman"/>
                <w:b/>
                <w:sz w:val="20"/>
                <w:szCs w:val="20"/>
              </w:rPr>
              <w:t xml:space="preserve"> 2014.</w:t>
            </w:r>
          </w:p>
        </w:tc>
      </w:tr>
      <w:tr w:rsidR="008042DF" w:rsidRPr="008042DF" w:rsidTr="000A3876">
        <w:trPr>
          <w:jc w:val="center"/>
        </w:trPr>
        <w:tc>
          <w:tcPr>
            <w:tcW w:w="1389" w:type="dxa"/>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b/>
                <w:sz w:val="20"/>
                <w:szCs w:val="20"/>
              </w:rPr>
            </w:pPr>
            <w:r w:rsidRPr="008042DF">
              <w:rPr>
                <w:rFonts w:ascii="Times New Roman" w:eastAsia="Times New Roman" w:hAnsi="Times New Roman" w:cs="Times New Roman"/>
                <w:b/>
                <w:sz w:val="20"/>
                <w:szCs w:val="20"/>
              </w:rPr>
              <w:t>Укупан број уговора</w:t>
            </w:r>
          </w:p>
        </w:tc>
        <w:tc>
          <w:tcPr>
            <w:tcW w:w="936" w:type="dxa"/>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sz w:val="16"/>
                <w:szCs w:val="16"/>
              </w:rPr>
            </w:pPr>
            <w:r w:rsidRPr="008042DF">
              <w:rPr>
                <w:rFonts w:ascii="Times New Roman" w:eastAsia="Times New Roman" w:hAnsi="Times New Roman" w:cs="Times New Roman"/>
                <w:sz w:val="16"/>
                <w:szCs w:val="16"/>
              </w:rPr>
              <w:t>231.661</w:t>
            </w:r>
          </w:p>
        </w:tc>
        <w:tc>
          <w:tcPr>
            <w:tcW w:w="1016" w:type="dxa"/>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sz w:val="16"/>
                <w:szCs w:val="16"/>
              </w:rPr>
            </w:pPr>
            <w:r w:rsidRPr="008042DF">
              <w:rPr>
                <w:rFonts w:ascii="Times New Roman" w:eastAsia="Times New Roman" w:hAnsi="Times New Roman" w:cs="Times New Roman"/>
                <w:sz w:val="16"/>
                <w:szCs w:val="16"/>
              </w:rPr>
              <w:t>215.815</w:t>
            </w:r>
          </w:p>
        </w:tc>
        <w:tc>
          <w:tcPr>
            <w:tcW w:w="1016" w:type="dxa"/>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sz w:val="16"/>
                <w:szCs w:val="16"/>
              </w:rPr>
            </w:pPr>
            <w:r w:rsidRPr="008042DF">
              <w:rPr>
                <w:rFonts w:ascii="Times New Roman" w:eastAsia="Times New Roman" w:hAnsi="Times New Roman" w:cs="Times New Roman"/>
                <w:sz w:val="16"/>
                <w:szCs w:val="16"/>
              </w:rPr>
              <w:t>148.758</w:t>
            </w:r>
          </w:p>
        </w:tc>
        <w:tc>
          <w:tcPr>
            <w:tcW w:w="1016" w:type="dxa"/>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sz w:val="16"/>
                <w:szCs w:val="16"/>
              </w:rPr>
            </w:pPr>
            <w:r w:rsidRPr="008042DF">
              <w:rPr>
                <w:rFonts w:ascii="Times New Roman" w:eastAsia="Times New Roman" w:hAnsi="Times New Roman" w:cs="Times New Roman"/>
                <w:sz w:val="16"/>
                <w:szCs w:val="16"/>
              </w:rPr>
              <w:t>152.485</w:t>
            </w:r>
          </w:p>
        </w:tc>
        <w:tc>
          <w:tcPr>
            <w:tcW w:w="1016" w:type="dxa"/>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sz w:val="16"/>
                <w:szCs w:val="16"/>
              </w:rPr>
            </w:pPr>
            <w:r w:rsidRPr="008042DF">
              <w:rPr>
                <w:rFonts w:ascii="Times New Roman" w:eastAsia="Times New Roman" w:hAnsi="Times New Roman" w:cs="Times New Roman"/>
                <w:sz w:val="16"/>
                <w:szCs w:val="16"/>
              </w:rPr>
              <w:t>122.587</w:t>
            </w:r>
          </w:p>
        </w:tc>
        <w:tc>
          <w:tcPr>
            <w:tcW w:w="1016" w:type="dxa"/>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sz w:val="16"/>
                <w:szCs w:val="16"/>
              </w:rPr>
            </w:pPr>
            <w:r w:rsidRPr="008042DF">
              <w:rPr>
                <w:rFonts w:ascii="Times New Roman" w:eastAsia="Times New Roman" w:hAnsi="Times New Roman" w:cs="Times New Roman"/>
                <w:sz w:val="16"/>
                <w:szCs w:val="16"/>
              </w:rPr>
              <w:t>109.910</w:t>
            </w:r>
          </w:p>
        </w:tc>
        <w:tc>
          <w:tcPr>
            <w:tcW w:w="0" w:type="auto"/>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sz w:val="16"/>
                <w:szCs w:val="16"/>
              </w:rPr>
            </w:pPr>
            <w:r w:rsidRPr="008042DF">
              <w:rPr>
                <w:rFonts w:ascii="Times New Roman" w:eastAsia="Times New Roman" w:hAnsi="Times New Roman" w:cs="Times New Roman"/>
                <w:sz w:val="16"/>
                <w:szCs w:val="16"/>
              </w:rPr>
              <w:t>91.992</w:t>
            </w:r>
          </w:p>
        </w:tc>
        <w:tc>
          <w:tcPr>
            <w:tcW w:w="0" w:type="auto"/>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sz w:val="16"/>
                <w:szCs w:val="16"/>
              </w:rPr>
            </w:pPr>
            <w:r w:rsidRPr="008042DF">
              <w:rPr>
                <w:rFonts w:ascii="Times New Roman" w:eastAsia="Times New Roman" w:hAnsi="Times New Roman" w:cs="Times New Roman"/>
                <w:sz w:val="16"/>
                <w:szCs w:val="16"/>
              </w:rPr>
              <w:t>83.693</w:t>
            </w:r>
          </w:p>
        </w:tc>
        <w:tc>
          <w:tcPr>
            <w:tcW w:w="0" w:type="auto"/>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sz w:val="16"/>
                <w:szCs w:val="16"/>
              </w:rPr>
            </w:pPr>
            <w:r w:rsidRPr="008042DF">
              <w:rPr>
                <w:rFonts w:ascii="Times New Roman" w:eastAsia="Times New Roman" w:hAnsi="Times New Roman" w:cs="Times New Roman"/>
                <w:sz w:val="16"/>
                <w:szCs w:val="16"/>
              </w:rPr>
              <w:t>111.249</w:t>
            </w:r>
          </w:p>
        </w:tc>
        <w:tc>
          <w:tcPr>
            <w:tcW w:w="0" w:type="auto"/>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sz w:val="16"/>
                <w:szCs w:val="16"/>
              </w:rPr>
            </w:pPr>
            <w:r w:rsidRPr="008042DF">
              <w:rPr>
                <w:rFonts w:ascii="Times New Roman" w:eastAsia="Times New Roman" w:hAnsi="Times New Roman" w:cs="Times New Roman"/>
                <w:sz w:val="16"/>
                <w:szCs w:val="16"/>
              </w:rPr>
              <w:t>92.710</w:t>
            </w:r>
          </w:p>
        </w:tc>
        <w:tc>
          <w:tcPr>
            <w:tcW w:w="1016" w:type="dxa"/>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sz w:val="16"/>
                <w:szCs w:val="16"/>
              </w:rPr>
            </w:pPr>
            <w:r w:rsidRPr="008042DF">
              <w:rPr>
                <w:rFonts w:ascii="Times New Roman" w:eastAsia="Times New Roman" w:hAnsi="Times New Roman" w:cs="Times New Roman"/>
                <w:sz w:val="16"/>
                <w:szCs w:val="16"/>
              </w:rPr>
              <w:t>83.121</w:t>
            </w:r>
          </w:p>
        </w:tc>
        <w:tc>
          <w:tcPr>
            <w:tcW w:w="1106" w:type="dxa"/>
            <w:tcBorders>
              <w:top w:val="single" w:sz="4" w:space="0" w:color="auto"/>
              <w:left w:val="single" w:sz="4" w:space="0" w:color="auto"/>
              <w:bottom w:val="single" w:sz="4" w:space="0" w:color="auto"/>
              <w:right w:val="single" w:sz="4" w:space="0" w:color="auto"/>
            </w:tcBorders>
            <w:vAlign w:val="center"/>
          </w:tcPr>
          <w:p w:rsidR="008042DF" w:rsidRPr="009B6DB4" w:rsidRDefault="008042DF" w:rsidP="008042DF">
            <w:pPr>
              <w:tabs>
                <w:tab w:val="left" w:pos="3622"/>
              </w:tabs>
              <w:spacing w:after="0" w:line="240" w:lineRule="auto"/>
              <w:jc w:val="center"/>
              <w:rPr>
                <w:rFonts w:ascii="Times New Roman" w:eastAsia="Times New Roman" w:hAnsi="Times New Roman" w:cs="Times New Roman"/>
                <w:sz w:val="16"/>
                <w:szCs w:val="16"/>
              </w:rPr>
            </w:pPr>
            <w:r w:rsidRPr="009B6DB4">
              <w:rPr>
                <w:rFonts w:ascii="Times New Roman" w:eastAsia="Times New Roman" w:hAnsi="Times New Roman" w:cs="Times New Roman"/>
                <w:sz w:val="16"/>
                <w:szCs w:val="16"/>
              </w:rPr>
              <w:t>42.439</w:t>
            </w:r>
          </w:p>
        </w:tc>
      </w:tr>
      <w:tr w:rsidR="008042DF" w:rsidRPr="008042DF" w:rsidTr="000A3876">
        <w:trPr>
          <w:jc w:val="center"/>
        </w:trPr>
        <w:tc>
          <w:tcPr>
            <w:tcW w:w="1389" w:type="dxa"/>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b/>
                <w:sz w:val="20"/>
                <w:szCs w:val="20"/>
              </w:rPr>
            </w:pPr>
            <w:r w:rsidRPr="008042DF">
              <w:rPr>
                <w:rFonts w:ascii="Times New Roman" w:eastAsia="Times New Roman" w:hAnsi="Times New Roman" w:cs="Times New Roman"/>
                <w:b/>
                <w:sz w:val="20"/>
                <w:szCs w:val="20"/>
              </w:rPr>
              <w:t>Укупна вредност</w:t>
            </w:r>
          </w:p>
          <w:p w:rsidR="008042DF" w:rsidRPr="008042DF" w:rsidRDefault="008042DF" w:rsidP="008042DF">
            <w:pPr>
              <w:tabs>
                <w:tab w:val="left" w:pos="3622"/>
              </w:tabs>
              <w:spacing w:after="0" w:line="240" w:lineRule="auto"/>
              <w:jc w:val="center"/>
              <w:rPr>
                <w:rFonts w:ascii="Times New Roman" w:eastAsia="Times New Roman" w:hAnsi="Times New Roman" w:cs="Times New Roman"/>
                <w:b/>
                <w:sz w:val="20"/>
                <w:szCs w:val="20"/>
              </w:rPr>
            </w:pPr>
            <w:r w:rsidRPr="008042DF">
              <w:rPr>
                <w:rFonts w:ascii="Times New Roman" w:eastAsia="Times New Roman" w:hAnsi="Times New Roman" w:cs="Times New Roman"/>
                <w:b/>
                <w:sz w:val="20"/>
                <w:szCs w:val="20"/>
              </w:rPr>
              <w:t>(у хиљадама динара)</w:t>
            </w:r>
          </w:p>
        </w:tc>
        <w:tc>
          <w:tcPr>
            <w:tcW w:w="936" w:type="dxa"/>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sz w:val="16"/>
                <w:szCs w:val="16"/>
              </w:rPr>
            </w:pPr>
            <w:r w:rsidRPr="008042DF">
              <w:rPr>
                <w:rFonts w:ascii="Times New Roman" w:eastAsia="Times New Roman" w:hAnsi="Times New Roman" w:cs="Times New Roman"/>
                <w:sz w:val="16"/>
                <w:szCs w:val="16"/>
              </w:rPr>
              <w:t>98.777.652</w:t>
            </w:r>
          </w:p>
        </w:tc>
        <w:tc>
          <w:tcPr>
            <w:tcW w:w="1016" w:type="dxa"/>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sz w:val="16"/>
                <w:szCs w:val="16"/>
              </w:rPr>
            </w:pPr>
            <w:r w:rsidRPr="008042DF">
              <w:rPr>
                <w:rFonts w:ascii="Times New Roman" w:eastAsia="Times New Roman" w:hAnsi="Times New Roman" w:cs="Times New Roman"/>
                <w:sz w:val="16"/>
                <w:szCs w:val="16"/>
              </w:rPr>
              <w:t>109.282.212</w:t>
            </w:r>
          </w:p>
        </w:tc>
        <w:tc>
          <w:tcPr>
            <w:tcW w:w="1016" w:type="dxa"/>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sz w:val="16"/>
                <w:szCs w:val="16"/>
              </w:rPr>
            </w:pPr>
            <w:r w:rsidRPr="008042DF">
              <w:rPr>
                <w:rFonts w:ascii="Times New Roman" w:eastAsia="Times New Roman" w:hAnsi="Times New Roman" w:cs="Times New Roman"/>
                <w:sz w:val="16"/>
                <w:szCs w:val="16"/>
              </w:rPr>
              <w:t>124.753.207</w:t>
            </w:r>
          </w:p>
        </w:tc>
        <w:tc>
          <w:tcPr>
            <w:tcW w:w="1016" w:type="dxa"/>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sz w:val="16"/>
                <w:szCs w:val="16"/>
              </w:rPr>
            </w:pPr>
            <w:r w:rsidRPr="008042DF">
              <w:rPr>
                <w:rFonts w:ascii="Times New Roman" w:eastAsia="Times New Roman" w:hAnsi="Times New Roman" w:cs="Times New Roman"/>
                <w:sz w:val="16"/>
                <w:szCs w:val="16"/>
              </w:rPr>
              <w:t>168.914.947</w:t>
            </w:r>
          </w:p>
        </w:tc>
        <w:tc>
          <w:tcPr>
            <w:tcW w:w="1016" w:type="dxa"/>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sz w:val="16"/>
                <w:szCs w:val="16"/>
              </w:rPr>
            </w:pPr>
            <w:r w:rsidRPr="008042DF">
              <w:rPr>
                <w:rFonts w:ascii="Times New Roman" w:eastAsia="Times New Roman" w:hAnsi="Times New Roman" w:cs="Times New Roman"/>
                <w:sz w:val="16"/>
                <w:szCs w:val="16"/>
              </w:rPr>
              <w:t>187.559.752</w:t>
            </w:r>
          </w:p>
        </w:tc>
        <w:tc>
          <w:tcPr>
            <w:tcW w:w="1016" w:type="dxa"/>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sz w:val="16"/>
                <w:szCs w:val="16"/>
              </w:rPr>
            </w:pPr>
            <w:r w:rsidRPr="008042DF">
              <w:rPr>
                <w:rFonts w:ascii="Times New Roman" w:eastAsia="Times New Roman" w:hAnsi="Times New Roman" w:cs="Times New Roman"/>
                <w:sz w:val="16"/>
                <w:szCs w:val="16"/>
              </w:rPr>
              <w:t>234.028.744</w:t>
            </w:r>
          </w:p>
        </w:tc>
        <w:tc>
          <w:tcPr>
            <w:tcW w:w="0" w:type="auto"/>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sz w:val="16"/>
                <w:szCs w:val="16"/>
              </w:rPr>
            </w:pPr>
            <w:r w:rsidRPr="008042DF">
              <w:rPr>
                <w:rFonts w:ascii="Times New Roman" w:eastAsia="Times New Roman" w:hAnsi="Times New Roman" w:cs="Times New Roman"/>
                <w:sz w:val="16"/>
                <w:szCs w:val="16"/>
              </w:rPr>
              <w:t>190.655.028</w:t>
            </w:r>
          </w:p>
        </w:tc>
        <w:tc>
          <w:tcPr>
            <w:tcW w:w="0" w:type="auto"/>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sz w:val="16"/>
                <w:szCs w:val="16"/>
              </w:rPr>
            </w:pPr>
            <w:r w:rsidRPr="008042DF">
              <w:rPr>
                <w:rFonts w:ascii="Times New Roman" w:eastAsia="Times New Roman" w:hAnsi="Times New Roman" w:cs="Times New Roman"/>
                <w:sz w:val="16"/>
                <w:szCs w:val="16"/>
              </w:rPr>
              <w:t>273.055.306</w:t>
            </w:r>
          </w:p>
        </w:tc>
        <w:tc>
          <w:tcPr>
            <w:tcW w:w="0" w:type="auto"/>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sz w:val="16"/>
                <w:szCs w:val="16"/>
              </w:rPr>
            </w:pPr>
            <w:r w:rsidRPr="008042DF">
              <w:rPr>
                <w:rFonts w:ascii="Times New Roman" w:eastAsia="Times New Roman" w:hAnsi="Times New Roman" w:cs="Times New Roman"/>
                <w:sz w:val="16"/>
                <w:szCs w:val="16"/>
              </w:rPr>
              <w:t>293.324.810</w:t>
            </w:r>
          </w:p>
        </w:tc>
        <w:tc>
          <w:tcPr>
            <w:tcW w:w="0" w:type="auto"/>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sz w:val="16"/>
                <w:szCs w:val="16"/>
              </w:rPr>
            </w:pPr>
            <w:r w:rsidRPr="008042DF">
              <w:rPr>
                <w:rFonts w:ascii="Times New Roman" w:eastAsia="Times New Roman" w:hAnsi="Times New Roman" w:cs="Times New Roman"/>
                <w:sz w:val="16"/>
                <w:szCs w:val="16"/>
              </w:rPr>
              <w:t>303.694.136</w:t>
            </w:r>
          </w:p>
        </w:tc>
        <w:tc>
          <w:tcPr>
            <w:tcW w:w="1016" w:type="dxa"/>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sz w:val="16"/>
                <w:szCs w:val="16"/>
              </w:rPr>
            </w:pPr>
            <w:r w:rsidRPr="008042DF">
              <w:rPr>
                <w:rFonts w:ascii="Times New Roman" w:eastAsia="Times New Roman" w:hAnsi="Times New Roman" w:cs="Times New Roman"/>
                <w:sz w:val="16"/>
                <w:szCs w:val="16"/>
              </w:rPr>
              <w:t>262.938.735</w:t>
            </w:r>
          </w:p>
        </w:tc>
        <w:tc>
          <w:tcPr>
            <w:tcW w:w="1106" w:type="dxa"/>
            <w:tcBorders>
              <w:top w:val="single" w:sz="4" w:space="0" w:color="auto"/>
              <w:left w:val="single" w:sz="4" w:space="0" w:color="auto"/>
              <w:bottom w:val="single" w:sz="4" w:space="0" w:color="auto"/>
              <w:right w:val="single" w:sz="4" w:space="0" w:color="auto"/>
            </w:tcBorders>
            <w:vAlign w:val="center"/>
          </w:tcPr>
          <w:p w:rsidR="008042DF" w:rsidRPr="00A47EA4" w:rsidRDefault="00A1749B" w:rsidP="008042DF">
            <w:pPr>
              <w:tabs>
                <w:tab w:val="left" w:pos="3622"/>
              </w:tabs>
              <w:spacing w:after="0" w:line="240" w:lineRule="auto"/>
              <w:jc w:val="center"/>
              <w:rPr>
                <w:rFonts w:ascii="Times New Roman" w:eastAsia="Times New Roman" w:hAnsi="Times New Roman" w:cs="Times New Roman"/>
                <w:sz w:val="16"/>
                <w:szCs w:val="16"/>
                <w:lang w:val="sr-Cyrl-RS"/>
              </w:rPr>
            </w:pPr>
            <w:r w:rsidRPr="00A47EA4">
              <w:rPr>
                <w:rFonts w:ascii="Times New Roman" w:eastAsia="Times New Roman" w:hAnsi="Times New Roman" w:cs="Times New Roman"/>
                <w:sz w:val="16"/>
                <w:szCs w:val="16"/>
                <w:lang w:val="sr-Cyrl-RS"/>
              </w:rPr>
              <w:t>147.591.059</w:t>
            </w:r>
          </w:p>
        </w:tc>
      </w:tr>
      <w:tr w:rsidR="008042DF" w:rsidRPr="008042DF" w:rsidTr="000A3876">
        <w:trPr>
          <w:jc w:val="center"/>
        </w:trPr>
        <w:tc>
          <w:tcPr>
            <w:tcW w:w="1389" w:type="dxa"/>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b/>
                <w:sz w:val="20"/>
                <w:szCs w:val="20"/>
              </w:rPr>
            </w:pPr>
            <w:r w:rsidRPr="008042DF">
              <w:rPr>
                <w:rFonts w:ascii="Times New Roman" w:eastAsia="Times New Roman" w:hAnsi="Times New Roman" w:cs="Times New Roman"/>
                <w:b/>
                <w:sz w:val="20"/>
                <w:szCs w:val="20"/>
              </w:rPr>
              <w:t>Просечна вредност             (у хиљадама динара)</w:t>
            </w:r>
          </w:p>
        </w:tc>
        <w:tc>
          <w:tcPr>
            <w:tcW w:w="936" w:type="dxa"/>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sz w:val="16"/>
                <w:szCs w:val="16"/>
              </w:rPr>
            </w:pPr>
            <w:r w:rsidRPr="008042DF">
              <w:rPr>
                <w:rFonts w:ascii="Times New Roman" w:eastAsia="Times New Roman" w:hAnsi="Times New Roman" w:cs="Times New Roman"/>
                <w:sz w:val="16"/>
                <w:szCs w:val="16"/>
              </w:rPr>
              <w:t>426</w:t>
            </w:r>
          </w:p>
        </w:tc>
        <w:tc>
          <w:tcPr>
            <w:tcW w:w="1016" w:type="dxa"/>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sz w:val="16"/>
                <w:szCs w:val="16"/>
              </w:rPr>
            </w:pPr>
            <w:r w:rsidRPr="008042DF">
              <w:rPr>
                <w:rFonts w:ascii="Times New Roman" w:eastAsia="Times New Roman" w:hAnsi="Times New Roman" w:cs="Times New Roman"/>
                <w:sz w:val="16"/>
                <w:szCs w:val="16"/>
              </w:rPr>
              <w:t>506</w:t>
            </w:r>
          </w:p>
        </w:tc>
        <w:tc>
          <w:tcPr>
            <w:tcW w:w="1016" w:type="dxa"/>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sz w:val="16"/>
                <w:szCs w:val="16"/>
              </w:rPr>
            </w:pPr>
            <w:r w:rsidRPr="008042DF">
              <w:rPr>
                <w:rFonts w:ascii="Times New Roman" w:eastAsia="Times New Roman" w:hAnsi="Times New Roman" w:cs="Times New Roman"/>
                <w:sz w:val="16"/>
                <w:szCs w:val="16"/>
              </w:rPr>
              <w:t>838</w:t>
            </w:r>
          </w:p>
        </w:tc>
        <w:tc>
          <w:tcPr>
            <w:tcW w:w="1016" w:type="dxa"/>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sz w:val="16"/>
                <w:szCs w:val="16"/>
              </w:rPr>
            </w:pPr>
            <w:r w:rsidRPr="008042DF">
              <w:rPr>
                <w:rFonts w:ascii="Times New Roman" w:eastAsia="Times New Roman" w:hAnsi="Times New Roman" w:cs="Times New Roman"/>
                <w:sz w:val="16"/>
                <w:szCs w:val="16"/>
              </w:rPr>
              <w:t>1.108</w:t>
            </w:r>
          </w:p>
        </w:tc>
        <w:tc>
          <w:tcPr>
            <w:tcW w:w="1016" w:type="dxa"/>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sz w:val="16"/>
                <w:szCs w:val="16"/>
              </w:rPr>
            </w:pPr>
            <w:r w:rsidRPr="008042DF">
              <w:rPr>
                <w:rFonts w:ascii="Times New Roman" w:eastAsia="Times New Roman" w:hAnsi="Times New Roman" w:cs="Times New Roman"/>
                <w:sz w:val="16"/>
                <w:szCs w:val="16"/>
              </w:rPr>
              <w:t>1.530</w:t>
            </w:r>
          </w:p>
        </w:tc>
        <w:tc>
          <w:tcPr>
            <w:tcW w:w="1016" w:type="dxa"/>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sz w:val="16"/>
                <w:szCs w:val="16"/>
              </w:rPr>
            </w:pPr>
            <w:r w:rsidRPr="008042DF">
              <w:rPr>
                <w:rFonts w:ascii="Times New Roman" w:eastAsia="Times New Roman" w:hAnsi="Times New Roman" w:cs="Times New Roman"/>
                <w:sz w:val="16"/>
                <w:szCs w:val="16"/>
              </w:rPr>
              <w:t>2.129</w:t>
            </w:r>
          </w:p>
        </w:tc>
        <w:tc>
          <w:tcPr>
            <w:tcW w:w="0" w:type="auto"/>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sz w:val="16"/>
                <w:szCs w:val="16"/>
              </w:rPr>
            </w:pPr>
            <w:r w:rsidRPr="008042DF">
              <w:rPr>
                <w:rFonts w:ascii="Times New Roman" w:eastAsia="Times New Roman" w:hAnsi="Times New Roman" w:cs="Times New Roman"/>
                <w:sz w:val="16"/>
                <w:szCs w:val="16"/>
              </w:rPr>
              <w:t>2.073</w:t>
            </w:r>
          </w:p>
        </w:tc>
        <w:tc>
          <w:tcPr>
            <w:tcW w:w="0" w:type="auto"/>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sz w:val="16"/>
                <w:szCs w:val="16"/>
              </w:rPr>
            </w:pPr>
            <w:r w:rsidRPr="008042DF">
              <w:rPr>
                <w:rFonts w:ascii="Times New Roman" w:eastAsia="Times New Roman" w:hAnsi="Times New Roman" w:cs="Times New Roman"/>
                <w:sz w:val="16"/>
                <w:szCs w:val="16"/>
              </w:rPr>
              <w:t>3.263</w:t>
            </w:r>
          </w:p>
        </w:tc>
        <w:tc>
          <w:tcPr>
            <w:tcW w:w="0" w:type="auto"/>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sz w:val="16"/>
                <w:szCs w:val="16"/>
              </w:rPr>
            </w:pPr>
            <w:r w:rsidRPr="008042DF">
              <w:rPr>
                <w:rFonts w:ascii="Times New Roman" w:eastAsia="Times New Roman" w:hAnsi="Times New Roman" w:cs="Times New Roman"/>
                <w:sz w:val="16"/>
                <w:szCs w:val="16"/>
              </w:rPr>
              <w:t>2.637</w:t>
            </w:r>
          </w:p>
        </w:tc>
        <w:tc>
          <w:tcPr>
            <w:tcW w:w="0" w:type="auto"/>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sz w:val="16"/>
                <w:szCs w:val="16"/>
              </w:rPr>
            </w:pPr>
            <w:r w:rsidRPr="008042DF">
              <w:rPr>
                <w:rFonts w:ascii="Times New Roman" w:eastAsia="Times New Roman" w:hAnsi="Times New Roman" w:cs="Times New Roman"/>
                <w:sz w:val="16"/>
                <w:szCs w:val="16"/>
              </w:rPr>
              <w:t>3.276</w:t>
            </w:r>
          </w:p>
        </w:tc>
        <w:tc>
          <w:tcPr>
            <w:tcW w:w="1016" w:type="dxa"/>
            <w:tcBorders>
              <w:top w:val="single" w:sz="4" w:space="0" w:color="auto"/>
              <w:left w:val="single" w:sz="4" w:space="0" w:color="auto"/>
              <w:bottom w:val="single" w:sz="4" w:space="0" w:color="auto"/>
              <w:right w:val="single" w:sz="4" w:space="0" w:color="auto"/>
            </w:tcBorders>
            <w:vAlign w:val="center"/>
            <w:hideMark/>
          </w:tcPr>
          <w:p w:rsidR="008042DF" w:rsidRPr="008042DF" w:rsidRDefault="008042DF" w:rsidP="008042DF">
            <w:pPr>
              <w:tabs>
                <w:tab w:val="left" w:pos="3622"/>
              </w:tabs>
              <w:spacing w:after="0" w:line="240" w:lineRule="auto"/>
              <w:jc w:val="center"/>
              <w:rPr>
                <w:rFonts w:ascii="Times New Roman" w:eastAsia="Times New Roman" w:hAnsi="Times New Roman" w:cs="Times New Roman"/>
                <w:sz w:val="16"/>
                <w:szCs w:val="16"/>
              </w:rPr>
            </w:pPr>
            <w:r w:rsidRPr="008042DF">
              <w:rPr>
                <w:rFonts w:ascii="Times New Roman" w:eastAsia="Times New Roman" w:hAnsi="Times New Roman" w:cs="Times New Roman"/>
                <w:sz w:val="16"/>
                <w:szCs w:val="16"/>
              </w:rPr>
              <w:t>3.163</w:t>
            </w:r>
          </w:p>
        </w:tc>
        <w:tc>
          <w:tcPr>
            <w:tcW w:w="1106" w:type="dxa"/>
            <w:tcBorders>
              <w:top w:val="single" w:sz="4" w:space="0" w:color="auto"/>
              <w:left w:val="single" w:sz="4" w:space="0" w:color="auto"/>
              <w:bottom w:val="single" w:sz="4" w:space="0" w:color="auto"/>
              <w:right w:val="single" w:sz="4" w:space="0" w:color="auto"/>
            </w:tcBorders>
            <w:vAlign w:val="center"/>
          </w:tcPr>
          <w:p w:rsidR="008042DF" w:rsidRPr="00A47EA4" w:rsidRDefault="00A1749B" w:rsidP="008042DF">
            <w:pPr>
              <w:tabs>
                <w:tab w:val="left" w:pos="3622"/>
              </w:tabs>
              <w:spacing w:after="0" w:line="240" w:lineRule="auto"/>
              <w:jc w:val="center"/>
              <w:rPr>
                <w:rFonts w:ascii="Times New Roman" w:eastAsia="Times New Roman" w:hAnsi="Times New Roman" w:cs="Times New Roman"/>
                <w:sz w:val="16"/>
                <w:szCs w:val="16"/>
                <w:lang w:val="sr-Cyrl-RS"/>
              </w:rPr>
            </w:pPr>
            <w:r w:rsidRPr="00A47EA4">
              <w:rPr>
                <w:rFonts w:ascii="Times New Roman" w:eastAsia="Times New Roman" w:hAnsi="Times New Roman" w:cs="Times New Roman"/>
                <w:sz w:val="16"/>
                <w:szCs w:val="16"/>
                <w:lang w:val="sr-Cyrl-RS"/>
              </w:rPr>
              <w:t>3.478</w:t>
            </w:r>
          </w:p>
        </w:tc>
      </w:tr>
    </w:tbl>
    <w:p w:rsidR="008042DF" w:rsidRDefault="008042DF" w:rsidP="009E2C73">
      <w:pPr>
        <w:rPr>
          <w:rFonts w:ascii="Times New Roman" w:hAnsi="Times New Roman" w:cs="Times New Roman"/>
          <w:sz w:val="24"/>
          <w:szCs w:val="24"/>
        </w:rPr>
      </w:pPr>
    </w:p>
    <w:p w:rsidR="00D938A4" w:rsidRDefault="00D938A4" w:rsidP="009E2C73">
      <w:pPr>
        <w:rPr>
          <w:rFonts w:ascii="Times New Roman" w:hAnsi="Times New Roman" w:cs="Times New Roman"/>
          <w:sz w:val="24"/>
          <w:szCs w:val="24"/>
        </w:rPr>
      </w:pPr>
    </w:p>
    <w:p w:rsidR="00696571" w:rsidRDefault="00D938A4" w:rsidP="003E775D">
      <w:pPr>
        <w:jc w:val="both"/>
        <w:rPr>
          <w:rFonts w:ascii="Times New Roman" w:hAnsi="Times New Roman" w:cs="Times New Roman"/>
          <w:sz w:val="24"/>
          <w:szCs w:val="24"/>
        </w:rPr>
      </w:pPr>
      <w:r>
        <w:rPr>
          <w:rFonts w:ascii="Times New Roman" w:hAnsi="Times New Roman" w:cs="Times New Roman"/>
          <w:sz w:val="24"/>
          <w:szCs w:val="24"/>
        </w:rPr>
        <w:t>С</w:t>
      </w:r>
      <w:r w:rsidR="00FD3C60">
        <w:rPr>
          <w:rFonts w:ascii="Times New Roman" w:hAnsi="Times New Roman" w:cs="Times New Roman"/>
          <w:sz w:val="24"/>
          <w:szCs w:val="24"/>
          <w:lang w:val="sr-Cyrl-RS"/>
        </w:rPr>
        <w:t xml:space="preserve"> </w:t>
      </w:r>
      <w:r>
        <w:rPr>
          <w:rFonts w:ascii="Times New Roman" w:hAnsi="Times New Roman" w:cs="Times New Roman"/>
          <w:sz w:val="24"/>
          <w:szCs w:val="24"/>
        </w:rPr>
        <w:t xml:space="preserve">обзиром да подаци о бруто домаћем производу за други квартал 2014. године нису били доступни од стране Републичког завода за статистику ни од Министарства финансија у време писања овог извештаја, показатељ учешћа укупне вредности јавних набавки у бруто домаћем производу није </w:t>
      </w:r>
      <w:r w:rsidR="00696571">
        <w:rPr>
          <w:rFonts w:ascii="Times New Roman" w:hAnsi="Times New Roman" w:cs="Times New Roman"/>
          <w:sz w:val="24"/>
          <w:szCs w:val="24"/>
        </w:rPr>
        <w:t xml:space="preserve">приказан. </w:t>
      </w:r>
    </w:p>
    <w:p w:rsidR="00F506EB" w:rsidRPr="00F506EB" w:rsidRDefault="00696571" w:rsidP="00F506EB">
      <w:pPr>
        <w:jc w:val="both"/>
        <w:rPr>
          <w:rFonts w:ascii="Times New Roman" w:hAnsi="Times New Roman" w:cs="Times New Roman"/>
          <w:sz w:val="24"/>
          <w:szCs w:val="24"/>
        </w:rPr>
      </w:pPr>
      <w:r>
        <w:rPr>
          <w:rFonts w:ascii="Times New Roman" w:hAnsi="Times New Roman" w:cs="Times New Roman"/>
          <w:sz w:val="24"/>
          <w:szCs w:val="24"/>
        </w:rPr>
        <w:t xml:space="preserve">Учешће набавки мале вредности у укупној вредности јавних набавки </w:t>
      </w:r>
      <w:r w:rsidR="00EF0C80">
        <w:rPr>
          <w:rFonts w:ascii="Times New Roman" w:hAnsi="Times New Roman" w:cs="Times New Roman"/>
          <w:sz w:val="24"/>
          <w:szCs w:val="24"/>
        </w:rPr>
        <w:t xml:space="preserve">смањено је са 19% </w:t>
      </w:r>
      <w:r>
        <w:rPr>
          <w:rFonts w:ascii="Times New Roman" w:hAnsi="Times New Roman" w:cs="Times New Roman"/>
          <w:sz w:val="24"/>
          <w:szCs w:val="24"/>
        </w:rPr>
        <w:t xml:space="preserve">у првом полугодишту </w:t>
      </w:r>
      <w:r w:rsidR="00EF0C80">
        <w:rPr>
          <w:rFonts w:ascii="Times New Roman" w:hAnsi="Times New Roman" w:cs="Times New Roman"/>
          <w:sz w:val="24"/>
          <w:szCs w:val="24"/>
        </w:rPr>
        <w:t xml:space="preserve">2013. године на </w:t>
      </w:r>
      <w:r w:rsidR="002C51E3" w:rsidRPr="003F7A4A">
        <w:rPr>
          <w:rFonts w:ascii="Times New Roman" w:hAnsi="Times New Roman" w:cs="Times New Roman"/>
          <w:sz w:val="24"/>
          <w:szCs w:val="24"/>
          <w:lang w:val="sr-Cyrl-RS"/>
        </w:rPr>
        <w:t>8</w:t>
      </w:r>
      <w:r w:rsidR="00EF0C80" w:rsidRPr="003F7A4A">
        <w:rPr>
          <w:rFonts w:ascii="Times New Roman" w:hAnsi="Times New Roman" w:cs="Times New Roman"/>
          <w:sz w:val="24"/>
          <w:szCs w:val="24"/>
        </w:rPr>
        <w:t>%</w:t>
      </w:r>
      <w:r w:rsidR="00EF0C80">
        <w:rPr>
          <w:rFonts w:ascii="Times New Roman" w:hAnsi="Times New Roman" w:cs="Times New Roman"/>
          <w:sz w:val="24"/>
          <w:szCs w:val="24"/>
        </w:rPr>
        <w:t xml:space="preserve"> у истом периоду 2014. </w:t>
      </w:r>
      <w:r w:rsidR="00E9604D">
        <w:rPr>
          <w:rFonts w:ascii="Times New Roman" w:hAnsi="Times New Roman" w:cs="Times New Roman"/>
          <w:sz w:val="24"/>
          <w:szCs w:val="24"/>
        </w:rPr>
        <w:t>г</w:t>
      </w:r>
      <w:r w:rsidR="00EF0C80">
        <w:rPr>
          <w:rFonts w:ascii="Times New Roman" w:hAnsi="Times New Roman" w:cs="Times New Roman"/>
          <w:sz w:val="24"/>
          <w:szCs w:val="24"/>
        </w:rPr>
        <w:t>одине (Слика1)</w:t>
      </w:r>
      <w:r>
        <w:rPr>
          <w:rFonts w:ascii="Times New Roman" w:hAnsi="Times New Roman" w:cs="Times New Roman"/>
          <w:sz w:val="24"/>
          <w:szCs w:val="24"/>
        </w:rPr>
        <w:t xml:space="preserve">. </w:t>
      </w:r>
      <w:r w:rsidR="00E9604D">
        <w:rPr>
          <w:rFonts w:ascii="Times New Roman" w:hAnsi="Times New Roman" w:cs="Times New Roman"/>
          <w:sz w:val="24"/>
          <w:szCs w:val="24"/>
        </w:rPr>
        <w:t xml:space="preserve">Смањење учешћа набавки мале вредности у структури јавних набавки резултат је повећања траснпарентности  ових набавки. </w:t>
      </w:r>
      <w:r w:rsidR="00F869E0">
        <w:rPr>
          <w:rFonts w:ascii="Times New Roman" w:hAnsi="Times New Roman" w:cs="Times New Roman"/>
          <w:sz w:val="24"/>
          <w:szCs w:val="24"/>
        </w:rPr>
        <w:t xml:space="preserve">Нови </w:t>
      </w:r>
      <w:r w:rsidR="00F869E0">
        <w:rPr>
          <w:rFonts w:ascii="Times New Roman" w:hAnsi="Times New Roman" w:cs="Times New Roman"/>
          <w:sz w:val="24"/>
          <w:szCs w:val="24"/>
          <w:lang w:val="sr-Cyrl-RS"/>
        </w:rPr>
        <w:t>З</w:t>
      </w:r>
      <w:r>
        <w:rPr>
          <w:rFonts w:ascii="Times New Roman" w:hAnsi="Times New Roman" w:cs="Times New Roman"/>
          <w:sz w:val="24"/>
          <w:szCs w:val="24"/>
        </w:rPr>
        <w:t xml:space="preserve">акон је прописао обавезу објављивања набавки мале вредности на Порталу, док је по </w:t>
      </w:r>
      <w:r w:rsidR="00E9604D">
        <w:rPr>
          <w:rFonts w:ascii="Times New Roman" w:hAnsi="Times New Roman" w:cs="Times New Roman"/>
          <w:sz w:val="24"/>
          <w:szCs w:val="24"/>
        </w:rPr>
        <w:t xml:space="preserve">претходном </w:t>
      </w:r>
      <w:r w:rsidR="009470C1">
        <w:rPr>
          <w:rFonts w:ascii="Times New Roman" w:hAnsi="Times New Roman" w:cs="Times New Roman"/>
          <w:sz w:val="24"/>
          <w:szCs w:val="24"/>
          <w:lang w:val="sr-Cyrl-RS"/>
        </w:rPr>
        <w:t>З</w:t>
      </w:r>
      <w:r>
        <w:rPr>
          <w:rFonts w:ascii="Times New Roman" w:hAnsi="Times New Roman" w:cs="Times New Roman"/>
          <w:sz w:val="24"/>
          <w:szCs w:val="24"/>
        </w:rPr>
        <w:t>акону наручилац имао могућност, али не и обавезу њиховог објављивања. Из тога се може извући закључак да је поступак набавке мале вредности,</w:t>
      </w:r>
      <w:r w:rsidR="002D62A8">
        <w:rPr>
          <w:rFonts w:ascii="Times New Roman" w:hAnsi="Times New Roman" w:cs="Times New Roman"/>
          <w:sz w:val="24"/>
          <w:szCs w:val="24"/>
          <w:lang w:val="sr-Cyrl-RS"/>
        </w:rPr>
        <w:t xml:space="preserve"> </w:t>
      </w:r>
      <w:r>
        <w:rPr>
          <w:rFonts w:ascii="Times New Roman" w:hAnsi="Times New Roman" w:cs="Times New Roman"/>
          <w:sz w:val="24"/>
          <w:szCs w:val="24"/>
        </w:rPr>
        <w:t>све до 1. априла 2013. године, коришћен у доброј мери управо због ограничене транспарентности</w:t>
      </w:r>
      <w:r w:rsidR="00F506EB">
        <w:rPr>
          <w:rFonts w:ascii="Times New Roman" w:hAnsi="Times New Roman" w:cs="Times New Roman"/>
          <w:sz w:val="24"/>
          <w:szCs w:val="24"/>
        </w:rPr>
        <w:t xml:space="preserve">, те да је отклањање </w:t>
      </w:r>
      <w:r w:rsidR="00F506EB">
        <w:rPr>
          <w:rFonts w:ascii="Times New Roman" w:hAnsi="Times New Roman" w:cs="Times New Roman"/>
          <w:sz w:val="24"/>
          <w:szCs w:val="24"/>
        </w:rPr>
        <w:br/>
        <w:t>ограничене</w:t>
      </w:r>
      <w:r w:rsidR="002D62A8">
        <w:rPr>
          <w:rFonts w:ascii="Times New Roman" w:hAnsi="Times New Roman" w:cs="Times New Roman"/>
          <w:sz w:val="24"/>
          <w:szCs w:val="24"/>
          <w:lang w:val="sr-Cyrl-RS"/>
        </w:rPr>
        <w:t xml:space="preserve"> </w:t>
      </w:r>
      <w:r w:rsidR="00F506EB">
        <w:rPr>
          <w:rFonts w:ascii="Times New Roman" w:hAnsi="Times New Roman" w:cs="Times New Roman"/>
          <w:sz w:val="24"/>
          <w:szCs w:val="24"/>
        </w:rPr>
        <w:t>транспарентности утицало да се смањи интерес наручилаца за овај поступак.</w:t>
      </w:r>
    </w:p>
    <w:p w:rsidR="00F506EB" w:rsidRPr="00B41F32" w:rsidRDefault="00F506EB" w:rsidP="00605717">
      <w:pPr>
        <w:jc w:val="both"/>
        <w:rPr>
          <w:rFonts w:ascii="Times New Roman" w:hAnsi="Times New Roman" w:cs="Times New Roman"/>
          <w:sz w:val="24"/>
          <w:szCs w:val="24"/>
          <w:lang w:val="sr-Cyrl-RS"/>
        </w:rPr>
        <w:sectPr w:rsidR="00F506EB" w:rsidRPr="00B41F32" w:rsidSect="00F506EB">
          <w:pgSz w:w="15840" w:h="12240" w:orient="landscape"/>
          <w:pgMar w:top="720" w:right="720" w:bottom="720" w:left="720" w:header="708" w:footer="708" w:gutter="0"/>
          <w:cols w:space="708"/>
          <w:docGrid w:linePitch="360"/>
        </w:sectPr>
      </w:pPr>
    </w:p>
    <w:p w:rsidR="00F40BAC" w:rsidRPr="00B41F32" w:rsidRDefault="00F40BAC" w:rsidP="00605717">
      <w:pPr>
        <w:jc w:val="both"/>
        <w:rPr>
          <w:rFonts w:ascii="Times New Roman" w:hAnsi="Times New Roman" w:cs="Times New Roman"/>
          <w:sz w:val="24"/>
          <w:szCs w:val="24"/>
          <w:lang w:val="sr-Cyrl-RS"/>
        </w:rPr>
      </w:pPr>
    </w:p>
    <w:p w:rsidR="00B41F32" w:rsidRDefault="00B41F32" w:rsidP="009B3038">
      <w:pPr>
        <w:jc w:val="center"/>
        <w:rPr>
          <w:rFonts w:ascii="Times New Roman" w:hAnsi="Times New Roman" w:cs="Times New Roman"/>
          <w:b/>
          <w:sz w:val="24"/>
          <w:szCs w:val="24"/>
          <w:lang w:val="sr-Cyrl-RS"/>
        </w:rPr>
      </w:pPr>
    </w:p>
    <w:p w:rsidR="00C06C5A" w:rsidRDefault="000B4B53" w:rsidP="009B3038">
      <w:pPr>
        <w:jc w:val="center"/>
        <w:rPr>
          <w:rFonts w:ascii="Times New Roman" w:hAnsi="Times New Roman" w:cs="Times New Roman"/>
          <w:sz w:val="24"/>
          <w:szCs w:val="24"/>
        </w:rPr>
      </w:pPr>
      <w:r w:rsidRPr="005223DD">
        <w:rPr>
          <w:rFonts w:ascii="Times New Roman" w:hAnsi="Times New Roman" w:cs="Times New Roman"/>
          <w:b/>
          <w:sz w:val="24"/>
          <w:szCs w:val="24"/>
        </w:rPr>
        <w:t xml:space="preserve">Слика </w:t>
      </w:r>
      <w:r w:rsidR="00696571" w:rsidRPr="005223DD">
        <w:rPr>
          <w:rFonts w:ascii="Times New Roman" w:hAnsi="Times New Roman" w:cs="Times New Roman"/>
          <w:b/>
          <w:sz w:val="24"/>
          <w:szCs w:val="24"/>
        </w:rPr>
        <w:t>1</w:t>
      </w:r>
      <w:r w:rsidR="00CC3111" w:rsidRPr="005223DD">
        <w:rPr>
          <w:rFonts w:ascii="Times New Roman" w:hAnsi="Times New Roman" w:cs="Times New Roman"/>
          <w:b/>
          <w:sz w:val="24"/>
          <w:szCs w:val="24"/>
        </w:rPr>
        <w:br/>
      </w:r>
      <w:bookmarkStart w:id="0" w:name="_MON_1470724052"/>
      <w:bookmarkEnd w:id="0"/>
      <w:r w:rsidR="00A1749B" w:rsidRPr="004A1464">
        <w:rPr>
          <w:rFonts w:ascii="Times New Roman" w:hAnsi="Times New Roman" w:cs="Times New Roman"/>
          <w:sz w:val="24"/>
          <w:szCs w:val="24"/>
        </w:rPr>
        <w:object w:dxaOrig="7217" w:dyaOrig="51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0.7pt;height:255.4pt" o:ole="">
            <v:imagedata r:id="rId13" o:title=""/>
          </v:shape>
          <o:OLEObject Type="Embed" ProgID="Excel.Sheet.12" ShapeID="_x0000_i1025" DrawAspect="Content" ObjectID="_1471688934" r:id="rId14"/>
        </w:object>
      </w:r>
    </w:p>
    <w:p w:rsidR="00F46CA4" w:rsidRPr="00A47EA4" w:rsidRDefault="00BA4C07" w:rsidP="00870647">
      <w:pPr>
        <w:jc w:val="both"/>
        <w:rPr>
          <w:rFonts w:ascii="Times New Roman" w:hAnsi="Times New Roman" w:cs="Times New Roman"/>
          <w:sz w:val="24"/>
          <w:szCs w:val="24"/>
          <w:lang w:val="sr-Cyrl-RS"/>
        </w:rPr>
      </w:pPr>
      <w:r w:rsidRPr="006B0D56">
        <w:rPr>
          <w:rFonts w:ascii="Times New Roman" w:hAnsi="Times New Roman" w:cs="Times New Roman"/>
          <w:sz w:val="24"/>
          <w:szCs w:val="24"/>
        </w:rPr>
        <w:t xml:space="preserve">Структура јавних набавки, посматрано по категоријама наручилаца, променила </w:t>
      </w:r>
      <w:r>
        <w:rPr>
          <w:rFonts w:ascii="Times New Roman" w:hAnsi="Times New Roman" w:cs="Times New Roman"/>
          <w:sz w:val="24"/>
          <w:szCs w:val="24"/>
        </w:rPr>
        <w:t>се у првом полуго</w:t>
      </w:r>
      <w:r>
        <w:rPr>
          <w:rFonts w:ascii="Times New Roman" w:hAnsi="Times New Roman" w:cs="Times New Roman"/>
          <w:sz w:val="24"/>
          <w:szCs w:val="24"/>
          <w:lang w:val="sr-Cyrl-RS"/>
        </w:rPr>
        <w:t xml:space="preserve">дишту </w:t>
      </w:r>
      <w:r>
        <w:rPr>
          <w:rFonts w:ascii="Times New Roman" w:hAnsi="Times New Roman" w:cs="Times New Roman"/>
          <w:sz w:val="24"/>
          <w:szCs w:val="24"/>
        </w:rPr>
        <w:t xml:space="preserve">2014. у односу на </w:t>
      </w:r>
      <w:r>
        <w:rPr>
          <w:rFonts w:ascii="Times New Roman" w:hAnsi="Times New Roman" w:cs="Times New Roman"/>
          <w:sz w:val="24"/>
          <w:szCs w:val="24"/>
          <w:lang w:val="sr-Cyrl-RS"/>
        </w:rPr>
        <w:t>исти период</w:t>
      </w:r>
      <w:r>
        <w:rPr>
          <w:rFonts w:ascii="Times New Roman" w:hAnsi="Times New Roman" w:cs="Times New Roman"/>
          <w:sz w:val="24"/>
          <w:szCs w:val="24"/>
        </w:rPr>
        <w:t xml:space="preserve"> 2013. године </w:t>
      </w:r>
      <w:r w:rsidRPr="006B0D56">
        <w:rPr>
          <w:rFonts w:ascii="Times New Roman" w:hAnsi="Times New Roman" w:cs="Times New Roman"/>
          <w:sz w:val="24"/>
          <w:szCs w:val="24"/>
        </w:rPr>
        <w:t>(</w:t>
      </w:r>
      <w:r w:rsidRPr="00D978ED">
        <w:rPr>
          <w:rFonts w:ascii="Times New Roman" w:hAnsi="Times New Roman" w:cs="Times New Roman"/>
          <w:color w:val="000000" w:themeColor="text1"/>
          <w:sz w:val="24"/>
          <w:szCs w:val="24"/>
        </w:rPr>
        <w:t>Табела 2</w:t>
      </w:r>
      <w:r w:rsidRPr="006B0D56">
        <w:rPr>
          <w:rFonts w:ascii="Times New Roman" w:hAnsi="Times New Roman" w:cs="Times New Roman"/>
          <w:sz w:val="24"/>
          <w:szCs w:val="24"/>
        </w:rPr>
        <w:t>). Највећ</w:t>
      </w:r>
      <w:r>
        <w:rPr>
          <w:rFonts w:ascii="Times New Roman" w:hAnsi="Times New Roman" w:cs="Times New Roman"/>
          <w:sz w:val="24"/>
          <w:szCs w:val="24"/>
        </w:rPr>
        <w:t>а</w:t>
      </w:r>
      <w:r w:rsidRPr="006B0D56">
        <w:rPr>
          <w:rFonts w:ascii="Times New Roman" w:hAnsi="Times New Roman" w:cs="Times New Roman"/>
          <w:sz w:val="24"/>
          <w:szCs w:val="24"/>
        </w:rPr>
        <w:t xml:space="preserve"> промен</w:t>
      </w:r>
      <w:r>
        <w:rPr>
          <w:rFonts w:ascii="Times New Roman" w:hAnsi="Times New Roman" w:cs="Times New Roman"/>
          <w:sz w:val="24"/>
          <w:szCs w:val="24"/>
        </w:rPr>
        <w:t xml:space="preserve">а учешћа забележена је код здравства и социјалне заштите који су повећали свој удео са </w:t>
      </w:r>
      <w:r w:rsidRPr="00A47EA4">
        <w:rPr>
          <w:rFonts w:ascii="Times New Roman" w:hAnsi="Times New Roman" w:cs="Times New Roman"/>
          <w:sz w:val="24"/>
          <w:szCs w:val="24"/>
        </w:rPr>
        <w:t>21 на 3</w:t>
      </w:r>
      <w:r w:rsidR="002C51E3" w:rsidRPr="00A47EA4">
        <w:rPr>
          <w:rFonts w:ascii="Times New Roman" w:hAnsi="Times New Roman" w:cs="Times New Roman"/>
          <w:sz w:val="24"/>
          <w:szCs w:val="24"/>
          <w:lang w:val="sr-Cyrl-RS"/>
        </w:rPr>
        <w:t>1</w:t>
      </w:r>
      <w:r w:rsidRPr="00A47EA4">
        <w:rPr>
          <w:rFonts w:ascii="Times New Roman" w:hAnsi="Times New Roman" w:cs="Times New Roman"/>
          <w:sz w:val="24"/>
          <w:szCs w:val="24"/>
        </w:rPr>
        <w:t xml:space="preserve">%. Ова категорија наручилаца </w:t>
      </w:r>
      <w:r w:rsidR="000F6B98" w:rsidRPr="00A47EA4">
        <w:rPr>
          <w:rFonts w:ascii="Times New Roman" w:hAnsi="Times New Roman" w:cs="Times New Roman"/>
          <w:sz w:val="24"/>
          <w:szCs w:val="24"/>
          <w:lang w:val="sr-Cyrl-RS"/>
        </w:rPr>
        <w:t>значајно се приближила категорији</w:t>
      </w:r>
      <w:r w:rsidRPr="00A47EA4">
        <w:rPr>
          <w:rFonts w:ascii="Times New Roman" w:hAnsi="Times New Roman" w:cs="Times New Roman"/>
          <w:sz w:val="24"/>
          <w:szCs w:val="24"/>
        </w:rPr>
        <w:t xml:space="preserve"> јавних предузећа која </w:t>
      </w:r>
      <w:r w:rsidR="000F6B98" w:rsidRPr="00A47EA4">
        <w:rPr>
          <w:rFonts w:ascii="Times New Roman" w:hAnsi="Times New Roman" w:cs="Times New Roman"/>
          <w:sz w:val="24"/>
          <w:szCs w:val="24"/>
          <w:lang w:val="sr-Cyrl-RS"/>
        </w:rPr>
        <w:t xml:space="preserve">је </w:t>
      </w:r>
      <w:r w:rsidR="00037DEC" w:rsidRPr="00A47EA4">
        <w:rPr>
          <w:rFonts w:ascii="Times New Roman" w:hAnsi="Times New Roman" w:cs="Times New Roman"/>
          <w:sz w:val="24"/>
          <w:szCs w:val="24"/>
          <w:lang w:val="sr-Cyrl-RS"/>
        </w:rPr>
        <w:t>остала</w:t>
      </w:r>
      <w:r w:rsidR="000F6B98" w:rsidRPr="00A47EA4">
        <w:rPr>
          <w:rFonts w:ascii="Times New Roman" w:hAnsi="Times New Roman" w:cs="Times New Roman"/>
          <w:sz w:val="24"/>
          <w:szCs w:val="24"/>
          <w:lang w:val="sr-Cyrl-RS"/>
        </w:rPr>
        <w:t xml:space="preserve"> доминантна</w:t>
      </w:r>
      <w:r w:rsidRPr="00A47EA4">
        <w:rPr>
          <w:rFonts w:ascii="Times New Roman" w:hAnsi="Times New Roman" w:cs="Times New Roman"/>
          <w:sz w:val="24"/>
          <w:szCs w:val="24"/>
        </w:rPr>
        <w:t xml:space="preserve"> по учешћу у </w:t>
      </w:r>
      <w:r w:rsidR="000F6B98" w:rsidRPr="00A47EA4">
        <w:rPr>
          <w:rFonts w:ascii="Times New Roman" w:hAnsi="Times New Roman" w:cs="Times New Roman"/>
          <w:sz w:val="24"/>
          <w:szCs w:val="24"/>
          <w:lang w:val="sr-Cyrl-RS"/>
        </w:rPr>
        <w:t xml:space="preserve">укупној </w:t>
      </w:r>
      <w:r w:rsidRPr="00A47EA4">
        <w:rPr>
          <w:rFonts w:ascii="Times New Roman" w:hAnsi="Times New Roman" w:cs="Times New Roman"/>
          <w:sz w:val="24"/>
          <w:szCs w:val="24"/>
        </w:rPr>
        <w:t>вредности јавних набавки са 3</w:t>
      </w:r>
      <w:r w:rsidR="000F6B98" w:rsidRPr="00A47EA4">
        <w:rPr>
          <w:rFonts w:ascii="Times New Roman" w:hAnsi="Times New Roman" w:cs="Times New Roman"/>
          <w:sz w:val="24"/>
          <w:szCs w:val="24"/>
          <w:lang w:val="sr-Cyrl-RS"/>
        </w:rPr>
        <w:t>5</w:t>
      </w:r>
      <w:r w:rsidR="00F46CA4" w:rsidRPr="00A47EA4">
        <w:rPr>
          <w:rFonts w:ascii="Times New Roman" w:hAnsi="Times New Roman" w:cs="Times New Roman"/>
          <w:sz w:val="24"/>
          <w:szCs w:val="24"/>
        </w:rPr>
        <w:t>%</w:t>
      </w:r>
      <w:r w:rsidR="00F46CA4" w:rsidRPr="00A47EA4">
        <w:rPr>
          <w:rFonts w:ascii="Times New Roman" w:hAnsi="Times New Roman" w:cs="Times New Roman"/>
          <w:sz w:val="24"/>
          <w:szCs w:val="24"/>
          <w:lang w:val="sr-Cyrl-RS"/>
        </w:rPr>
        <w:t xml:space="preserve">, и поред значајног пада за 3% у односу на прво полугодиште 2013. године. </w:t>
      </w:r>
    </w:p>
    <w:p w:rsidR="00071D1A" w:rsidRPr="00A47EA4" w:rsidRDefault="00BA4C07" w:rsidP="00870647">
      <w:pPr>
        <w:jc w:val="both"/>
        <w:rPr>
          <w:rFonts w:ascii="Times New Roman" w:hAnsi="Times New Roman" w:cs="Times New Roman"/>
          <w:sz w:val="24"/>
          <w:szCs w:val="24"/>
          <w:lang w:val="sr-Cyrl-RS"/>
        </w:rPr>
      </w:pPr>
      <w:r>
        <w:rPr>
          <w:rFonts w:ascii="Times New Roman" w:hAnsi="Times New Roman" w:cs="Times New Roman"/>
          <w:sz w:val="24"/>
          <w:szCs w:val="24"/>
        </w:rPr>
        <w:t xml:space="preserve">Код осталих категорија наручилаца није било значајније </w:t>
      </w:r>
      <w:r w:rsidR="00037DEC" w:rsidRPr="00A47EA4">
        <w:rPr>
          <w:rFonts w:ascii="Times New Roman" w:hAnsi="Times New Roman" w:cs="Times New Roman"/>
          <w:sz w:val="24"/>
          <w:szCs w:val="24"/>
          <w:lang w:val="sr-Cyrl-RS"/>
        </w:rPr>
        <w:t>промене, сем код градске и општинске управе где је удео преполовљен (са 8 на 4%).</w:t>
      </w:r>
      <w:r w:rsidR="00F46CA4" w:rsidRPr="00A47EA4">
        <w:rPr>
          <w:rFonts w:ascii="Times New Roman" w:hAnsi="Times New Roman" w:cs="Times New Roman"/>
          <w:sz w:val="24"/>
          <w:szCs w:val="24"/>
          <w:lang w:val="sr-Cyrl-RS"/>
        </w:rPr>
        <w:t xml:space="preserve"> </w:t>
      </w:r>
      <w:r w:rsidRPr="00A47EA4">
        <w:rPr>
          <w:rFonts w:ascii="Times New Roman" w:hAnsi="Times New Roman" w:cs="Times New Roman"/>
          <w:sz w:val="24"/>
          <w:szCs w:val="24"/>
        </w:rPr>
        <w:t xml:space="preserve">Остале </w:t>
      </w:r>
      <w:r w:rsidRPr="00A47EA4">
        <w:rPr>
          <w:rFonts w:ascii="Times New Roman" w:hAnsi="Times New Roman" w:cs="Times New Roman"/>
          <w:sz w:val="24"/>
          <w:szCs w:val="24"/>
          <w:lang w:val="sr-Cyrl-RS"/>
        </w:rPr>
        <w:t>к</w:t>
      </w:r>
      <w:r w:rsidRPr="00A47EA4">
        <w:rPr>
          <w:rFonts w:ascii="Times New Roman" w:hAnsi="Times New Roman" w:cs="Times New Roman"/>
          <w:sz w:val="24"/>
          <w:szCs w:val="24"/>
        </w:rPr>
        <w:t>атегорије наручилаца су смањивале учешће у мањој мери или задржале исти ниво</w:t>
      </w:r>
      <w:r w:rsidRPr="00A47EA4">
        <w:rPr>
          <w:rFonts w:ascii="Times New Roman" w:hAnsi="Times New Roman" w:cs="Times New Roman"/>
          <w:sz w:val="24"/>
          <w:szCs w:val="24"/>
          <w:lang w:val="sr-Cyrl-RS"/>
        </w:rPr>
        <w:t xml:space="preserve"> </w:t>
      </w:r>
      <w:r w:rsidRPr="00A47EA4">
        <w:rPr>
          <w:rFonts w:ascii="Times New Roman" w:hAnsi="Times New Roman" w:cs="Times New Roman"/>
          <w:sz w:val="24"/>
          <w:szCs w:val="24"/>
        </w:rPr>
        <w:t>који су имале у првој</w:t>
      </w:r>
      <w:r w:rsidRPr="00A47EA4">
        <w:rPr>
          <w:rFonts w:ascii="Times New Roman" w:hAnsi="Times New Roman" w:cs="Times New Roman"/>
          <w:sz w:val="24"/>
          <w:szCs w:val="24"/>
          <w:lang w:val="sr-Cyrl-RS"/>
        </w:rPr>
        <w:t xml:space="preserve"> </w:t>
      </w:r>
      <w:r w:rsidRPr="00A47EA4">
        <w:rPr>
          <w:rFonts w:ascii="Times New Roman" w:hAnsi="Times New Roman" w:cs="Times New Roman"/>
          <w:sz w:val="24"/>
          <w:szCs w:val="24"/>
        </w:rPr>
        <w:t>половини</w:t>
      </w:r>
      <w:r w:rsidRPr="00A47EA4">
        <w:rPr>
          <w:rFonts w:ascii="Times New Roman" w:hAnsi="Times New Roman" w:cs="Times New Roman"/>
          <w:sz w:val="24"/>
          <w:szCs w:val="24"/>
          <w:lang w:val="sr-Cyrl-RS"/>
        </w:rPr>
        <w:t xml:space="preserve"> 2</w:t>
      </w:r>
      <w:r w:rsidRPr="00A47EA4">
        <w:rPr>
          <w:rFonts w:ascii="Times New Roman" w:hAnsi="Times New Roman" w:cs="Times New Roman"/>
          <w:sz w:val="24"/>
          <w:szCs w:val="24"/>
        </w:rPr>
        <w:t>013.</w:t>
      </w:r>
      <w:r w:rsidRPr="00A47EA4">
        <w:rPr>
          <w:rFonts w:ascii="Times New Roman" w:hAnsi="Times New Roman" w:cs="Times New Roman"/>
          <w:sz w:val="24"/>
          <w:szCs w:val="24"/>
          <w:lang w:val="sr-Cyrl-RS"/>
        </w:rPr>
        <w:t xml:space="preserve"> </w:t>
      </w:r>
      <w:r w:rsidRPr="00A47EA4">
        <w:rPr>
          <w:rFonts w:ascii="Times New Roman" w:hAnsi="Times New Roman" w:cs="Times New Roman"/>
          <w:sz w:val="24"/>
          <w:szCs w:val="24"/>
        </w:rPr>
        <w:t>године.</w:t>
      </w:r>
    </w:p>
    <w:p w:rsidR="00291C91" w:rsidRPr="00F506EB" w:rsidRDefault="00F506EB" w:rsidP="000A3876">
      <w:pPr>
        <w:rPr>
          <w:rFonts w:ascii="Times New Roman" w:hAnsi="Times New Roman" w:cs="Times New Roman"/>
          <w:sz w:val="24"/>
          <w:szCs w:val="24"/>
        </w:rPr>
        <w:sectPr w:rsidR="00291C91" w:rsidRPr="00F506EB" w:rsidSect="00F506EB">
          <w:pgSz w:w="12240" w:h="15840"/>
          <w:pgMar w:top="720" w:right="720" w:bottom="720" w:left="720" w:header="708" w:footer="708" w:gutter="0"/>
          <w:cols w:space="708"/>
          <w:docGrid w:linePitch="360"/>
        </w:sectPr>
      </w:pPr>
      <w:r>
        <w:rPr>
          <w:rFonts w:ascii="Times New Roman" w:hAnsi="Times New Roman" w:cs="Times New Roman"/>
          <w:sz w:val="24"/>
          <w:szCs w:val="24"/>
        </w:rPr>
        <w:br/>
      </w:r>
    </w:p>
    <w:p w:rsidR="009965E9" w:rsidRPr="00A47EA4" w:rsidRDefault="009B6DB4" w:rsidP="00904A10">
      <w:pPr>
        <w:rPr>
          <w:rFonts w:ascii="Times New Roman" w:hAnsi="Times New Roman" w:cs="Times New Roman"/>
          <w:b/>
          <w:sz w:val="24"/>
          <w:szCs w:val="24"/>
        </w:rPr>
      </w:pPr>
      <w:r w:rsidRPr="00A47EA4">
        <w:rPr>
          <w:rFonts w:ascii="Times New Roman" w:hAnsi="Times New Roman" w:cs="Times New Roman"/>
          <w:b/>
          <w:sz w:val="24"/>
          <w:szCs w:val="24"/>
          <w:lang w:val="sr-Cyrl-RS"/>
        </w:rPr>
        <w:lastRenderedPageBreak/>
        <w:t xml:space="preserve">               </w:t>
      </w:r>
      <w:r w:rsidR="002C1559" w:rsidRPr="00A47EA4">
        <w:rPr>
          <w:rFonts w:ascii="Times New Roman" w:hAnsi="Times New Roman" w:cs="Times New Roman"/>
          <w:b/>
          <w:sz w:val="24"/>
          <w:szCs w:val="24"/>
        </w:rPr>
        <w:t>Табела 2</w:t>
      </w:r>
    </w:p>
    <w:tbl>
      <w:tblPr>
        <w:tblStyle w:val="TableGrid"/>
        <w:tblW w:w="8893" w:type="dxa"/>
        <w:jc w:val="center"/>
        <w:tblInd w:w="-837" w:type="dxa"/>
        <w:tblLook w:val="0000" w:firstRow="0" w:lastRow="0" w:firstColumn="0" w:lastColumn="0" w:noHBand="0" w:noVBand="0"/>
      </w:tblPr>
      <w:tblGrid>
        <w:gridCol w:w="2136"/>
        <w:gridCol w:w="923"/>
        <w:gridCol w:w="543"/>
        <w:gridCol w:w="1306"/>
        <w:gridCol w:w="543"/>
        <w:gridCol w:w="923"/>
        <w:gridCol w:w="551"/>
        <w:gridCol w:w="1331"/>
        <w:gridCol w:w="637"/>
      </w:tblGrid>
      <w:tr w:rsidR="002C1559" w:rsidTr="00A8404D">
        <w:trPr>
          <w:trHeight w:val="855"/>
          <w:jc w:val="center"/>
        </w:trPr>
        <w:tc>
          <w:tcPr>
            <w:tcW w:w="8893" w:type="dxa"/>
            <w:gridSpan w:val="9"/>
            <w:tcBorders>
              <w:top w:val="single" w:sz="18" w:space="0" w:color="auto"/>
              <w:left w:val="single" w:sz="18" w:space="0" w:color="auto"/>
              <w:right w:val="single" w:sz="18" w:space="0" w:color="auto"/>
            </w:tcBorders>
            <w:vAlign w:val="center"/>
          </w:tcPr>
          <w:p w:rsidR="002C1559" w:rsidRPr="008147A1" w:rsidRDefault="002C1559" w:rsidP="00BD28A5">
            <w:pPr>
              <w:jc w:val="center"/>
              <w:rPr>
                <w:rFonts w:ascii="Times New Roman" w:hAnsi="Times New Roman" w:cs="Times New Roman"/>
                <w:b/>
                <w:sz w:val="24"/>
                <w:szCs w:val="24"/>
              </w:rPr>
            </w:pPr>
            <w:r>
              <w:rPr>
                <w:rFonts w:ascii="Times New Roman" w:hAnsi="Times New Roman" w:cs="Times New Roman"/>
                <w:b/>
                <w:sz w:val="24"/>
                <w:szCs w:val="24"/>
              </w:rPr>
              <w:t xml:space="preserve">Упоредни преглед јавних набавки по категоријама наручилаца </w:t>
            </w:r>
          </w:p>
        </w:tc>
      </w:tr>
      <w:tr w:rsidR="002C1559" w:rsidTr="00A8404D">
        <w:tblPrEx>
          <w:tblLook w:val="04A0" w:firstRow="1" w:lastRow="0" w:firstColumn="1" w:lastColumn="0" w:noHBand="0" w:noVBand="1"/>
        </w:tblPrEx>
        <w:trPr>
          <w:jc w:val="center"/>
        </w:trPr>
        <w:tc>
          <w:tcPr>
            <w:tcW w:w="2136" w:type="dxa"/>
            <w:tcBorders>
              <w:top w:val="single" w:sz="18" w:space="0" w:color="auto"/>
              <w:left w:val="single" w:sz="18" w:space="0" w:color="auto"/>
              <w:bottom w:val="single" w:sz="18" w:space="0" w:color="auto"/>
              <w:right w:val="single" w:sz="18" w:space="0" w:color="auto"/>
            </w:tcBorders>
            <w:vAlign w:val="center"/>
            <w:hideMark/>
          </w:tcPr>
          <w:p w:rsidR="002C1559" w:rsidRDefault="002C1559" w:rsidP="00A8404D">
            <w:pPr>
              <w:jc w:val="center"/>
              <w:rPr>
                <w:rFonts w:ascii="Times New Roman" w:hAnsi="Times New Roman" w:cs="Times New Roman"/>
                <w:b/>
                <w:sz w:val="20"/>
                <w:szCs w:val="20"/>
              </w:rPr>
            </w:pPr>
            <w:r>
              <w:rPr>
                <w:rFonts w:ascii="Times New Roman" w:hAnsi="Times New Roman" w:cs="Times New Roman"/>
                <w:b/>
                <w:sz w:val="20"/>
                <w:szCs w:val="20"/>
              </w:rPr>
              <w:t>Период</w:t>
            </w:r>
          </w:p>
        </w:tc>
        <w:tc>
          <w:tcPr>
            <w:tcW w:w="3315" w:type="dxa"/>
            <w:gridSpan w:val="4"/>
            <w:tcBorders>
              <w:top w:val="single" w:sz="18" w:space="0" w:color="auto"/>
              <w:left w:val="single" w:sz="18" w:space="0" w:color="auto"/>
              <w:bottom w:val="single" w:sz="18" w:space="0" w:color="auto"/>
              <w:right w:val="single" w:sz="18" w:space="0" w:color="auto"/>
            </w:tcBorders>
            <w:hideMark/>
          </w:tcPr>
          <w:p w:rsidR="002C1559" w:rsidRDefault="002C1559" w:rsidP="00A8404D">
            <w:pPr>
              <w:jc w:val="center"/>
              <w:rPr>
                <w:rFonts w:ascii="Times New Roman" w:hAnsi="Times New Roman" w:cs="Times New Roman"/>
                <w:b/>
                <w:sz w:val="20"/>
                <w:szCs w:val="20"/>
                <w:lang w:val="en-US"/>
              </w:rPr>
            </w:pPr>
            <w:r>
              <w:rPr>
                <w:rFonts w:ascii="Times New Roman" w:hAnsi="Times New Roman" w:cs="Times New Roman"/>
                <w:b/>
                <w:sz w:val="20"/>
                <w:szCs w:val="20"/>
              </w:rPr>
              <w:t>2013. година</w:t>
            </w:r>
          </w:p>
          <w:p w:rsidR="002C1559" w:rsidRPr="00BD28A5" w:rsidRDefault="00BD28A5" w:rsidP="00BD28A5">
            <w:pPr>
              <w:jc w:val="center"/>
              <w:rPr>
                <w:rFonts w:ascii="Times New Roman" w:hAnsi="Times New Roman" w:cs="Times New Roman"/>
                <w:b/>
                <w:sz w:val="20"/>
                <w:szCs w:val="20"/>
                <w:lang w:val="sr-Cyrl-RS"/>
              </w:rPr>
            </w:pPr>
            <w:r>
              <w:rPr>
                <w:rFonts w:ascii="Times New Roman" w:hAnsi="Times New Roman" w:cs="Times New Roman"/>
                <w:b/>
                <w:sz w:val="20"/>
                <w:szCs w:val="20"/>
                <w:lang w:val="sr-Cyrl-RS"/>
              </w:rPr>
              <w:t>п</w:t>
            </w:r>
            <w:r w:rsidR="002C1559">
              <w:rPr>
                <w:rFonts w:ascii="Times New Roman" w:hAnsi="Times New Roman" w:cs="Times New Roman"/>
                <w:b/>
                <w:sz w:val="20"/>
                <w:szCs w:val="20"/>
              </w:rPr>
              <w:t>рво полуго</w:t>
            </w:r>
            <w:r>
              <w:rPr>
                <w:rFonts w:ascii="Times New Roman" w:hAnsi="Times New Roman" w:cs="Times New Roman"/>
                <w:b/>
                <w:sz w:val="20"/>
                <w:szCs w:val="20"/>
                <w:lang w:val="sr-Cyrl-RS"/>
              </w:rPr>
              <w:t>диште</w:t>
            </w:r>
          </w:p>
        </w:tc>
        <w:tc>
          <w:tcPr>
            <w:tcW w:w="3442" w:type="dxa"/>
            <w:gridSpan w:val="4"/>
            <w:tcBorders>
              <w:top w:val="single" w:sz="18" w:space="0" w:color="auto"/>
              <w:left w:val="single" w:sz="18" w:space="0" w:color="auto"/>
              <w:bottom w:val="single" w:sz="18" w:space="0" w:color="auto"/>
              <w:right w:val="single" w:sz="18" w:space="0" w:color="auto"/>
            </w:tcBorders>
            <w:vAlign w:val="center"/>
            <w:hideMark/>
          </w:tcPr>
          <w:p w:rsidR="002C1559" w:rsidRDefault="002C1559" w:rsidP="00A8404D">
            <w:pPr>
              <w:jc w:val="center"/>
              <w:rPr>
                <w:rFonts w:ascii="Times New Roman" w:hAnsi="Times New Roman" w:cs="Times New Roman"/>
                <w:b/>
                <w:sz w:val="20"/>
                <w:szCs w:val="20"/>
              </w:rPr>
            </w:pPr>
            <w:r>
              <w:rPr>
                <w:rFonts w:ascii="Times New Roman" w:hAnsi="Times New Roman" w:cs="Times New Roman"/>
                <w:b/>
                <w:sz w:val="20"/>
                <w:szCs w:val="20"/>
              </w:rPr>
              <w:t>2014. година</w:t>
            </w:r>
          </w:p>
          <w:p w:rsidR="002C1559" w:rsidRPr="00BD28A5" w:rsidRDefault="00BD28A5" w:rsidP="00BD28A5">
            <w:pPr>
              <w:jc w:val="center"/>
              <w:rPr>
                <w:rFonts w:ascii="Times New Roman" w:hAnsi="Times New Roman" w:cs="Times New Roman"/>
                <w:b/>
                <w:sz w:val="20"/>
                <w:szCs w:val="20"/>
                <w:lang w:val="sr-Cyrl-RS"/>
              </w:rPr>
            </w:pPr>
            <w:r>
              <w:rPr>
                <w:rFonts w:ascii="Times New Roman" w:hAnsi="Times New Roman" w:cs="Times New Roman"/>
                <w:b/>
                <w:sz w:val="20"/>
                <w:szCs w:val="20"/>
                <w:lang w:val="sr-Cyrl-RS"/>
              </w:rPr>
              <w:t>п</w:t>
            </w:r>
            <w:r w:rsidR="002C1559">
              <w:rPr>
                <w:rFonts w:ascii="Times New Roman" w:hAnsi="Times New Roman" w:cs="Times New Roman"/>
                <w:b/>
                <w:sz w:val="20"/>
                <w:szCs w:val="20"/>
              </w:rPr>
              <w:t>рво полуго</w:t>
            </w:r>
            <w:r>
              <w:rPr>
                <w:rFonts w:ascii="Times New Roman" w:hAnsi="Times New Roman" w:cs="Times New Roman"/>
                <w:b/>
                <w:sz w:val="20"/>
                <w:szCs w:val="20"/>
                <w:lang w:val="sr-Cyrl-RS"/>
              </w:rPr>
              <w:t>диште</w:t>
            </w:r>
          </w:p>
        </w:tc>
      </w:tr>
      <w:tr w:rsidR="002C1559" w:rsidTr="00A8404D">
        <w:tblPrEx>
          <w:tblLook w:val="04A0" w:firstRow="1" w:lastRow="0" w:firstColumn="1" w:lastColumn="0" w:noHBand="0" w:noVBand="1"/>
        </w:tblPrEx>
        <w:trPr>
          <w:jc w:val="center"/>
        </w:trPr>
        <w:tc>
          <w:tcPr>
            <w:tcW w:w="2136" w:type="dxa"/>
            <w:tcBorders>
              <w:top w:val="single" w:sz="18" w:space="0" w:color="auto"/>
              <w:left w:val="single" w:sz="18" w:space="0" w:color="auto"/>
              <w:bottom w:val="single" w:sz="4" w:space="0" w:color="auto"/>
              <w:right w:val="single" w:sz="18" w:space="0" w:color="auto"/>
            </w:tcBorders>
            <w:vAlign w:val="center"/>
            <w:hideMark/>
          </w:tcPr>
          <w:p w:rsidR="002C1559" w:rsidRDefault="002C1559" w:rsidP="00A8404D">
            <w:pPr>
              <w:jc w:val="center"/>
              <w:rPr>
                <w:rFonts w:ascii="Times New Roman" w:hAnsi="Times New Roman" w:cs="Times New Roman"/>
                <w:b/>
                <w:sz w:val="20"/>
                <w:szCs w:val="20"/>
              </w:rPr>
            </w:pPr>
            <w:r>
              <w:rPr>
                <w:rFonts w:ascii="Times New Roman" w:hAnsi="Times New Roman" w:cs="Times New Roman"/>
                <w:b/>
                <w:sz w:val="20"/>
                <w:szCs w:val="20"/>
              </w:rPr>
              <w:t>Категорија</w:t>
            </w:r>
          </w:p>
        </w:tc>
        <w:tc>
          <w:tcPr>
            <w:tcW w:w="923" w:type="dxa"/>
            <w:tcBorders>
              <w:top w:val="single" w:sz="18" w:space="0" w:color="auto"/>
              <w:left w:val="single" w:sz="18" w:space="0" w:color="auto"/>
              <w:bottom w:val="single" w:sz="4" w:space="0" w:color="auto"/>
              <w:right w:val="single" w:sz="4" w:space="0" w:color="auto"/>
            </w:tcBorders>
            <w:vAlign w:val="center"/>
            <w:hideMark/>
          </w:tcPr>
          <w:p w:rsidR="002C1559" w:rsidRDefault="002C1559" w:rsidP="00A8404D">
            <w:pPr>
              <w:jc w:val="center"/>
              <w:rPr>
                <w:rFonts w:ascii="Times New Roman" w:hAnsi="Times New Roman" w:cs="Times New Roman"/>
                <w:sz w:val="20"/>
                <w:szCs w:val="20"/>
              </w:rPr>
            </w:pPr>
            <w:r>
              <w:rPr>
                <w:rFonts w:ascii="Times New Roman" w:hAnsi="Times New Roman" w:cs="Times New Roman"/>
                <w:sz w:val="20"/>
                <w:szCs w:val="20"/>
              </w:rPr>
              <w:t>Број</w:t>
            </w:r>
          </w:p>
          <w:p w:rsidR="002C1559" w:rsidRDefault="002C1559" w:rsidP="00A8404D">
            <w:pPr>
              <w:jc w:val="center"/>
              <w:rPr>
                <w:rFonts w:ascii="Times New Roman" w:hAnsi="Times New Roman" w:cs="Times New Roman"/>
                <w:sz w:val="20"/>
                <w:szCs w:val="20"/>
              </w:rPr>
            </w:pPr>
            <w:r>
              <w:rPr>
                <w:rFonts w:ascii="Times New Roman" w:hAnsi="Times New Roman" w:cs="Times New Roman"/>
                <w:sz w:val="20"/>
                <w:szCs w:val="20"/>
              </w:rPr>
              <w:t>Уговора</w:t>
            </w:r>
          </w:p>
        </w:tc>
        <w:tc>
          <w:tcPr>
            <w:tcW w:w="543" w:type="dxa"/>
            <w:tcBorders>
              <w:top w:val="single" w:sz="18" w:space="0" w:color="auto"/>
              <w:left w:val="single" w:sz="4" w:space="0" w:color="auto"/>
              <w:bottom w:val="single" w:sz="4" w:space="0" w:color="auto"/>
              <w:right w:val="single" w:sz="4" w:space="0" w:color="auto"/>
            </w:tcBorders>
            <w:vAlign w:val="center"/>
            <w:hideMark/>
          </w:tcPr>
          <w:p w:rsidR="002C1559" w:rsidRDefault="002C1559" w:rsidP="00A8404D">
            <w:pPr>
              <w:jc w:val="center"/>
              <w:rPr>
                <w:rFonts w:ascii="Times New Roman" w:hAnsi="Times New Roman" w:cs="Times New Roman"/>
                <w:sz w:val="20"/>
                <w:szCs w:val="20"/>
              </w:rPr>
            </w:pPr>
            <w:r>
              <w:rPr>
                <w:rFonts w:ascii="Times New Roman" w:hAnsi="Times New Roman" w:cs="Times New Roman"/>
                <w:sz w:val="20"/>
                <w:szCs w:val="20"/>
              </w:rPr>
              <w:t>%</w:t>
            </w:r>
          </w:p>
        </w:tc>
        <w:tc>
          <w:tcPr>
            <w:tcW w:w="1306" w:type="dxa"/>
            <w:tcBorders>
              <w:top w:val="single" w:sz="18" w:space="0" w:color="auto"/>
              <w:left w:val="single" w:sz="4" w:space="0" w:color="auto"/>
              <w:bottom w:val="single" w:sz="4" w:space="0" w:color="auto"/>
              <w:right w:val="single" w:sz="4" w:space="0" w:color="auto"/>
            </w:tcBorders>
            <w:vAlign w:val="center"/>
            <w:hideMark/>
          </w:tcPr>
          <w:p w:rsidR="002C1559" w:rsidRDefault="002C1559" w:rsidP="00A8404D">
            <w:pPr>
              <w:jc w:val="center"/>
              <w:rPr>
                <w:rFonts w:ascii="Times New Roman" w:hAnsi="Times New Roman" w:cs="Times New Roman"/>
                <w:sz w:val="20"/>
                <w:szCs w:val="20"/>
              </w:rPr>
            </w:pPr>
            <w:r>
              <w:rPr>
                <w:rFonts w:ascii="Times New Roman" w:hAnsi="Times New Roman" w:cs="Times New Roman"/>
                <w:sz w:val="20"/>
                <w:szCs w:val="20"/>
              </w:rPr>
              <w:t>Уговорена</w:t>
            </w:r>
          </w:p>
          <w:p w:rsidR="002C1559" w:rsidRDefault="002C1559" w:rsidP="00A8404D">
            <w:pPr>
              <w:jc w:val="center"/>
              <w:rPr>
                <w:rFonts w:ascii="Times New Roman" w:hAnsi="Times New Roman" w:cs="Times New Roman"/>
                <w:sz w:val="20"/>
                <w:szCs w:val="20"/>
              </w:rPr>
            </w:pPr>
            <w:r>
              <w:rPr>
                <w:rFonts w:ascii="Times New Roman" w:hAnsi="Times New Roman" w:cs="Times New Roman"/>
                <w:sz w:val="20"/>
                <w:szCs w:val="20"/>
              </w:rPr>
              <w:t>Вредност</w:t>
            </w:r>
          </w:p>
          <w:p w:rsidR="002C1559" w:rsidRDefault="002C1559" w:rsidP="00A8404D">
            <w:pPr>
              <w:jc w:val="center"/>
              <w:rPr>
                <w:rFonts w:ascii="Times New Roman" w:hAnsi="Times New Roman" w:cs="Times New Roman"/>
                <w:sz w:val="20"/>
                <w:szCs w:val="20"/>
              </w:rPr>
            </w:pPr>
            <w:r>
              <w:rPr>
                <w:rFonts w:ascii="Times New Roman" w:hAnsi="Times New Roman" w:cs="Times New Roman"/>
                <w:sz w:val="20"/>
                <w:szCs w:val="20"/>
              </w:rPr>
              <w:t>без ПДВ-а*</w:t>
            </w:r>
          </w:p>
        </w:tc>
        <w:tc>
          <w:tcPr>
            <w:tcW w:w="543" w:type="dxa"/>
            <w:tcBorders>
              <w:top w:val="single" w:sz="18" w:space="0" w:color="auto"/>
              <w:left w:val="single" w:sz="4" w:space="0" w:color="auto"/>
              <w:bottom w:val="single" w:sz="4" w:space="0" w:color="auto"/>
              <w:right w:val="single" w:sz="18" w:space="0" w:color="auto"/>
            </w:tcBorders>
            <w:vAlign w:val="center"/>
            <w:hideMark/>
          </w:tcPr>
          <w:p w:rsidR="002C1559" w:rsidRDefault="002C1559" w:rsidP="00A8404D">
            <w:pPr>
              <w:jc w:val="center"/>
              <w:rPr>
                <w:rFonts w:ascii="Times New Roman" w:hAnsi="Times New Roman" w:cs="Times New Roman"/>
                <w:sz w:val="20"/>
                <w:szCs w:val="20"/>
              </w:rPr>
            </w:pPr>
            <w:r>
              <w:rPr>
                <w:rFonts w:ascii="Times New Roman" w:hAnsi="Times New Roman" w:cs="Times New Roman"/>
                <w:sz w:val="20"/>
                <w:szCs w:val="20"/>
              </w:rPr>
              <w:t>%</w:t>
            </w:r>
          </w:p>
        </w:tc>
        <w:tc>
          <w:tcPr>
            <w:tcW w:w="923" w:type="dxa"/>
            <w:tcBorders>
              <w:top w:val="single" w:sz="18" w:space="0" w:color="auto"/>
              <w:left w:val="single" w:sz="18" w:space="0" w:color="auto"/>
              <w:bottom w:val="single" w:sz="4" w:space="0" w:color="auto"/>
              <w:right w:val="single" w:sz="4" w:space="0" w:color="auto"/>
            </w:tcBorders>
            <w:vAlign w:val="center"/>
            <w:hideMark/>
          </w:tcPr>
          <w:p w:rsidR="002C1559" w:rsidRDefault="002C1559" w:rsidP="00A8404D">
            <w:pPr>
              <w:jc w:val="center"/>
              <w:rPr>
                <w:rFonts w:ascii="Times New Roman" w:hAnsi="Times New Roman" w:cs="Times New Roman"/>
                <w:sz w:val="20"/>
                <w:szCs w:val="20"/>
              </w:rPr>
            </w:pPr>
            <w:r>
              <w:rPr>
                <w:rFonts w:ascii="Times New Roman" w:hAnsi="Times New Roman" w:cs="Times New Roman"/>
                <w:sz w:val="20"/>
                <w:szCs w:val="20"/>
              </w:rPr>
              <w:t>Број</w:t>
            </w:r>
          </w:p>
          <w:p w:rsidR="002C1559" w:rsidRDefault="002C1559" w:rsidP="00A8404D">
            <w:pPr>
              <w:jc w:val="center"/>
              <w:rPr>
                <w:rFonts w:ascii="Times New Roman" w:hAnsi="Times New Roman" w:cs="Times New Roman"/>
                <w:sz w:val="20"/>
                <w:szCs w:val="20"/>
              </w:rPr>
            </w:pPr>
            <w:r>
              <w:rPr>
                <w:rFonts w:ascii="Times New Roman" w:hAnsi="Times New Roman" w:cs="Times New Roman"/>
                <w:sz w:val="20"/>
                <w:szCs w:val="20"/>
              </w:rPr>
              <w:t>Уговора</w:t>
            </w:r>
          </w:p>
        </w:tc>
        <w:tc>
          <w:tcPr>
            <w:tcW w:w="551" w:type="dxa"/>
            <w:tcBorders>
              <w:top w:val="single" w:sz="18" w:space="0" w:color="auto"/>
              <w:left w:val="single" w:sz="4" w:space="0" w:color="auto"/>
              <w:bottom w:val="single" w:sz="4" w:space="0" w:color="auto"/>
              <w:right w:val="single" w:sz="4" w:space="0" w:color="auto"/>
            </w:tcBorders>
            <w:vAlign w:val="center"/>
            <w:hideMark/>
          </w:tcPr>
          <w:p w:rsidR="002C1559" w:rsidRDefault="002C1559" w:rsidP="00A8404D">
            <w:pPr>
              <w:jc w:val="center"/>
              <w:rPr>
                <w:rFonts w:ascii="Times New Roman" w:hAnsi="Times New Roman" w:cs="Times New Roman"/>
                <w:sz w:val="20"/>
                <w:szCs w:val="20"/>
              </w:rPr>
            </w:pPr>
            <w:r>
              <w:rPr>
                <w:rFonts w:ascii="Times New Roman" w:hAnsi="Times New Roman" w:cs="Times New Roman"/>
                <w:sz w:val="20"/>
                <w:szCs w:val="20"/>
              </w:rPr>
              <w:t>%</w:t>
            </w:r>
          </w:p>
        </w:tc>
        <w:tc>
          <w:tcPr>
            <w:tcW w:w="1331" w:type="dxa"/>
            <w:tcBorders>
              <w:top w:val="single" w:sz="18" w:space="0" w:color="auto"/>
              <w:left w:val="single" w:sz="4" w:space="0" w:color="auto"/>
              <w:bottom w:val="single" w:sz="4" w:space="0" w:color="auto"/>
              <w:right w:val="single" w:sz="4" w:space="0" w:color="auto"/>
            </w:tcBorders>
            <w:vAlign w:val="center"/>
            <w:hideMark/>
          </w:tcPr>
          <w:p w:rsidR="002C1559" w:rsidRDefault="002C1559" w:rsidP="00A8404D">
            <w:pPr>
              <w:jc w:val="center"/>
              <w:rPr>
                <w:rFonts w:ascii="Times New Roman" w:hAnsi="Times New Roman" w:cs="Times New Roman"/>
                <w:sz w:val="20"/>
                <w:szCs w:val="20"/>
              </w:rPr>
            </w:pPr>
            <w:r>
              <w:rPr>
                <w:rFonts w:ascii="Times New Roman" w:hAnsi="Times New Roman" w:cs="Times New Roman"/>
                <w:sz w:val="20"/>
                <w:szCs w:val="20"/>
              </w:rPr>
              <w:t>Уговорена</w:t>
            </w:r>
          </w:p>
          <w:p w:rsidR="002C1559" w:rsidRDefault="002C1559" w:rsidP="00A8404D">
            <w:pPr>
              <w:jc w:val="center"/>
              <w:rPr>
                <w:rFonts w:ascii="Times New Roman" w:hAnsi="Times New Roman" w:cs="Times New Roman"/>
                <w:sz w:val="20"/>
                <w:szCs w:val="20"/>
              </w:rPr>
            </w:pPr>
            <w:r>
              <w:rPr>
                <w:rFonts w:ascii="Times New Roman" w:hAnsi="Times New Roman" w:cs="Times New Roman"/>
                <w:sz w:val="20"/>
                <w:szCs w:val="20"/>
              </w:rPr>
              <w:t>Вредност</w:t>
            </w:r>
          </w:p>
          <w:p w:rsidR="002C1559" w:rsidRDefault="002C1559" w:rsidP="00A8404D">
            <w:pPr>
              <w:jc w:val="center"/>
              <w:rPr>
                <w:rFonts w:ascii="Times New Roman" w:hAnsi="Times New Roman" w:cs="Times New Roman"/>
                <w:sz w:val="20"/>
                <w:szCs w:val="20"/>
              </w:rPr>
            </w:pPr>
            <w:r>
              <w:rPr>
                <w:rFonts w:ascii="Times New Roman" w:hAnsi="Times New Roman" w:cs="Times New Roman"/>
                <w:sz w:val="20"/>
                <w:szCs w:val="20"/>
              </w:rPr>
              <w:t>без ПДВ-а*</w:t>
            </w:r>
          </w:p>
        </w:tc>
        <w:tc>
          <w:tcPr>
            <w:tcW w:w="637" w:type="dxa"/>
            <w:tcBorders>
              <w:top w:val="single" w:sz="18" w:space="0" w:color="auto"/>
              <w:left w:val="single" w:sz="4" w:space="0" w:color="auto"/>
              <w:bottom w:val="single" w:sz="4" w:space="0" w:color="auto"/>
              <w:right w:val="single" w:sz="18" w:space="0" w:color="auto"/>
            </w:tcBorders>
            <w:vAlign w:val="center"/>
            <w:hideMark/>
          </w:tcPr>
          <w:p w:rsidR="002C1559" w:rsidRDefault="002C1559" w:rsidP="00A8404D">
            <w:pPr>
              <w:jc w:val="center"/>
              <w:rPr>
                <w:rFonts w:ascii="Times New Roman" w:hAnsi="Times New Roman" w:cs="Times New Roman"/>
                <w:sz w:val="20"/>
                <w:szCs w:val="20"/>
              </w:rPr>
            </w:pPr>
            <w:r>
              <w:rPr>
                <w:rFonts w:ascii="Times New Roman" w:hAnsi="Times New Roman" w:cs="Times New Roman"/>
                <w:sz w:val="20"/>
                <w:szCs w:val="20"/>
              </w:rPr>
              <w:t>%</w:t>
            </w:r>
          </w:p>
        </w:tc>
      </w:tr>
      <w:tr w:rsidR="002C1559" w:rsidTr="00A8404D">
        <w:tblPrEx>
          <w:tblLook w:val="04A0" w:firstRow="1" w:lastRow="0" w:firstColumn="1" w:lastColumn="0" w:noHBand="0" w:noVBand="1"/>
        </w:tblPrEx>
        <w:trPr>
          <w:jc w:val="center"/>
        </w:trPr>
        <w:tc>
          <w:tcPr>
            <w:tcW w:w="2136" w:type="dxa"/>
            <w:tcBorders>
              <w:top w:val="single" w:sz="4" w:space="0" w:color="auto"/>
              <w:left w:val="single" w:sz="18" w:space="0" w:color="auto"/>
              <w:bottom w:val="single" w:sz="4" w:space="0" w:color="auto"/>
              <w:right w:val="single" w:sz="18" w:space="0" w:color="auto"/>
            </w:tcBorders>
            <w:vAlign w:val="center"/>
            <w:hideMark/>
          </w:tcPr>
          <w:p w:rsidR="002C1559" w:rsidRDefault="002C1559" w:rsidP="00A8404D">
            <w:pPr>
              <w:jc w:val="center"/>
              <w:rPr>
                <w:rFonts w:ascii="Times New Roman" w:hAnsi="Times New Roman" w:cs="Times New Roman"/>
                <w:b/>
                <w:sz w:val="20"/>
                <w:szCs w:val="20"/>
              </w:rPr>
            </w:pPr>
            <w:r>
              <w:rPr>
                <w:rFonts w:ascii="Times New Roman" w:hAnsi="Times New Roman" w:cs="Times New Roman"/>
                <w:b/>
                <w:sz w:val="20"/>
                <w:szCs w:val="20"/>
              </w:rPr>
              <w:t>Органи државне управе</w:t>
            </w:r>
          </w:p>
        </w:tc>
        <w:tc>
          <w:tcPr>
            <w:tcW w:w="923" w:type="dxa"/>
            <w:tcBorders>
              <w:top w:val="single" w:sz="4" w:space="0" w:color="auto"/>
              <w:left w:val="single" w:sz="18" w:space="0" w:color="auto"/>
              <w:bottom w:val="single" w:sz="4" w:space="0" w:color="auto"/>
              <w:right w:val="single" w:sz="4" w:space="0" w:color="auto"/>
            </w:tcBorders>
            <w:vAlign w:val="center"/>
          </w:tcPr>
          <w:p w:rsidR="002C1559" w:rsidRPr="00A360EA" w:rsidRDefault="002C1559" w:rsidP="00A8404D">
            <w:pPr>
              <w:jc w:val="center"/>
              <w:rPr>
                <w:rFonts w:ascii="Times New Roman" w:hAnsi="Times New Roman" w:cs="Times New Roman"/>
                <w:sz w:val="20"/>
                <w:szCs w:val="20"/>
              </w:rPr>
            </w:pPr>
            <w:r>
              <w:rPr>
                <w:rFonts w:ascii="Times New Roman" w:hAnsi="Times New Roman" w:cs="Times New Roman"/>
                <w:sz w:val="20"/>
                <w:szCs w:val="20"/>
              </w:rPr>
              <w:t>8.233</w:t>
            </w:r>
          </w:p>
        </w:tc>
        <w:tc>
          <w:tcPr>
            <w:tcW w:w="543" w:type="dxa"/>
            <w:tcBorders>
              <w:top w:val="single" w:sz="4" w:space="0" w:color="auto"/>
              <w:left w:val="single" w:sz="4" w:space="0" w:color="auto"/>
              <w:bottom w:val="single" w:sz="4" w:space="0" w:color="auto"/>
              <w:right w:val="single" w:sz="4" w:space="0" w:color="auto"/>
            </w:tcBorders>
            <w:vAlign w:val="center"/>
          </w:tcPr>
          <w:p w:rsidR="002C1559" w:rsidRPr="0036162D" w:rsidRDefault="002C1559" w:rsidP="00A8404D">
            <w:pPr>
              <w:jc w:val="center"/>
              <w:rPr>
                <w:rFonts w:ascii="Times New Roman" w:hAnsi="Times New Roman" w:cs="Times New Roman"/>
                <w:color w:val="000000"/>
                <w:sz w:val="20"/>
                <w:szCs w:val="20"/>
              </w:rPr>
            </w:pPr>
            <w:r w:rsidRPr="0036162D">
              <w:rPr>
                <w:rFonts w:ascii="Times New Roman" w:hAnsi="Times New Roman" w:cs="Times New Roman"/>
                <w:color w:val="000000"/>
                <w:sz w:val="20"/>
                <w:szCs w:val="20"/>
              </w:rPr>
              <w:t>18</w:t>
            </w:r>
          </w:p>
        </w:tc>
        <w:tc>
          <w:tcPr>
            <w:tcW w:w="1306" w:type="dxa"/>
            <w:tcBorders>
              <w:top w:val="single" w:sz="4" w:space="0" w:color="auto"/>
              <w:left w:val="single" w:sz="4" w:space="0" w:color="auto"/>
              <w:bottom w:val="single" w:sz="4" w:space="0" w:color="auto"/>
              <w:right w:val="single" w:sz="4" w:space="0" w:color="auto"/>
            </w:tcBorders>
            <w:vAlign w:val="center"/>
          </w:tcPr>
          <w:p w:rsidR="002C1559" w:rsidRPr="0036162D" w:rsidRDefault="002C1559" w:rsidP="00A8404D">
            <w:pPr>
              <w:jc w:val="center"/>
              <w:rPr>
                <w:rFonts w:ascii="Times New Roman" w:hAnsi="Times New Roman" w:cs="Times New Roman"/>
                <w:color w:val="000000"/>
                <w:sz w:val="20"/>
                <w:szCs w:val="20"/>
              </w:rPr>
            </w:pPr>
            <w:r w:rsidRPr="0036162D">
              <w:rPr>
                <w:rFonts w:ascii="Times New Roman" w:hAnsi="Times New Roman" w:cs="Times New Roman"/>
                <w:color w:val="000000"/>
                <w:sz w:val="20"/>
                <w:szCs w:val="20"/>
              </w:rPr>
              <w:t>14.612.129</w:t>
            </w:r>
          </w:p>
        </w:tc>
        <w:tc>
          <w:tcPr>
            <w:tcW w:w="543" w:type="dxa"/>
            <w:tcBorders>
              <w:top w:val="single" w:sz="4" w:space="0" w:color="auto"/>
              <w:left w:val="single" w:sz="4" w:space="0" w:color="auto"/>
              <w:bottom w:val="single" w:sz="4" w:space="0" w:color="auto"/>
              <w:right w:val="single" w:sz="18" w:space="0" w:color="auto"/>
            </w:tcBorders>
            <w:vAlign w:val="center"/>
          </w:tcPr>
          <w:p w:rsidR="002C1559" w:rsidRPr="00571569" w:rsidRDefault="002C1559" w:rsidP="00A8404D">
            <w:pPr>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p>
        </w:tc>
        <w:tc>
          <w:tcPr>
            <w:tcW w:w="923" w:type="dxa"/>
            <w:tcBorders>
              <w:top w:val="single" w:sz="4" w:space="0" w:color="auto"/>
              <w:left w:val="single" w:sz="18" w:space="0" w:color="auto"/>
              <w:bottom w:val="single" w:sz="4" w:space="0" w:color="auto"/>
              <w:right w:val="single" w:sz="4" w:space="0" w:color="auto"/>
            </w:tcBorders>
            <w:vAlign w:val="center"/>
          </w:tcPr>
          <w:p w:rsidR="002C1559" w:rsidRPr="00646515" w:rsidRDefault="002C1559" w:rsidP="00A8404D">
            <w:pPr>
              <w:jc w:val="center"/>
              <w:rPr>
                <w:color w:val="000000"/>
                <w:sz w:val="20"/>
                <w:szCs w:val="20"/>
              </w:rPr>
            </w:pPr>
            <w:r w:rsidRPr="00646515">
              <w:rPr>
                <w:color w:val="000000"/>
                <w:sz w:val="20"/>
                <w:szCs w:val="20"/>
              </w:rPr>
              <w:t>3.903</w:t>
            </w:r>
          </w:p>
        </w:tc>
        <w:tc>
          <w:tcPr>
            <w:tcW w:w="551" w:type="dxa"/>
            <w:tcBorders>
              <w:top w:val="single" w:sz="4" w:space="0" w:color="auto"/>
              <w:left w:val="single" w:sz="4" w:space="0" w:color="auto"/>
              <w:bottom w:val="single" w:sz="4" w:space="0" w:color="auto"/>
              <w:right w:val="single" w:sz="4" w:space="0" w:color="auto"/>
            </w:tcBorders>
            <w:vAlign w:val="center"/>
          </w:tcPr>
          <w:p w:rsidR="002C1559" w:rsidRPr="00646515" w:rsidRDefault="002C1559" w:rsidP="00A8404D">
            <w:pPr>
              <w:jc w:val="center"/>
              <w:rPr>
                <w:rFonts w:ascii="Calibri" w:hAnsi="Calibri" w:cs="Calibri"/>
                <w:color w:val="000000"/>
                <w:sz w:val="20"/>
                <w:szCs w:val="20"/>
              </w:rPr>
            </w:pPr>
            <w:r w:rsidRPr="00646515">
              <w:rPr>
                <w:rFonts w:ascii="Calibri" w:hAnsi="Calibri" w:cs="Calibri"/>
                <w:color w:val="000000"/>
                <w:sz w:val="20"/>
                <w:szCs w:val="20"/>
              </w:rPr>
              <w:t>9</w:t>
            </w:r>
          </w:p>
        </w:tc>
        <w:tc>
          <w:tcPr>
            <w:tcW w:w="1331" w:type="dxa"/>
            <w:tcBorders>
              <w:top w:val="single" w:sz="4" w:space="0" w:color="auto"/>
              <w:left w:val="single" w:sz="4" w:space="0" w:color="auto"/>
              <w:bottom w:val="single" w:sz="4" w:space="0" w:color="auto"/>
              <w:right w:val="single" w:sz="4" w:space="0" w:color="auto"/>
            </w:tcBorders>
            <w:vAlign w:val="center"/>
          </w:tcPr>
          <w:p w:rsidR="002C1559" w:rsidRPr="00646515" w:rsidRDefault="002C1559" w:rsidP="00A8404D">
            <w:pPr>
              <w:jc w:val="center"/>
              <w:rPr>
                <w:color w:val="000000"/>
                <w:sz w:val="20"/>
                <w:szCs w:val="20"/>
              </w:rPr>
            </w:pPr>
            <w:r w:rsidRPr="00646515">
              <w:rPr>
                <w:color w:val="000000"/>
                <w:sz w:val="20"/>
                <w:szCs w:val="20"/>
              </w:rPr>
              <w:t>14.587.429</w:t>
            </w:r>
          </w:p>
        </w:tc>
        <w:tc>
          <w:tcPr>
            <w:tcW w:w="637" w:type="dxa"/>
            <w:tcBorders>
              <w:top w:val="single" w:sz="4" w:space="0" w:color="auto"/>
              <w:left w:val="single" w:sz="4" w:space="0" w:color="auto"/>
              <w:bottom w:val="single" w:sz="4" w:space="0" w:color="auto"/>
              <w:right w:val="single" w:sz="18" w:space="0" w:color="auto"/>
            </w:tcBorders>
            <w:vAlign w:val="center"/>
          </w:tcPr>
          <w:p w:rsidR="002C1559" w:rsidRPr="00A47EA4" w:rsidRDefault="00481B19" w:rsidP="00A8404D">
            <w:pPr>
              <w:jc w:val="center"/>
              <w:rPr>
                <w:rFonts w:ascii="Calibri" w:hAnsi="Calibri" w:cs="Calibri"/>
                <w:sz w:val="20"/>
                <w:szCs w:val="20"/>
                <w:lang w:val="sr-Cyrl-RS"/>
              </w:rPr>
            </w:pPr>
            <w:r w:rsidRPr="00A47EA4">
              <w:rPr>
                <w:rFonts w:ascii="Calibri" w:hAnsi="Calibri" w:cs="Calibri"/>
                <w:sz w:val="20"/>
                <w:szCs w:val="20"/>
                <w:lang w:val="sr-Cyrl-RS"/>
              </w:rPr>
              <w:t>10</w:t>
            </w:r>
          </w:p>
        </w:tc>
      </w:tr>
      <w:tr w:rsidR="002C1559" w:rsidTr="00A8404D">
        <w:tblPrEx>
          <w:tblLook w:val="04A0" w:firstRow="1" w:lastRow="0" w:firstColumn="1" w:lastColumn="0" w:noHBand="0" w:noVBand="1"/>
        </w:tblPrEx>
        <w:trPr>
          <w:jc w:val="center"/>
        </w:trPr>
        <w:tc>
          <w:tcPr>
            <w:tcW w:w="2136" w:type="dxa"/>
            <w:tcBorders>
              <w:top w:val="single" w:sz="4" w:space="0" w:color="auto"/>
              <w:left w:val="single" w:sz="18" w:space="0" w:color="auto"/>
              <w:bottom w:val="single" w:sz="4" w:space="0" w:color="auto"/>
              <w:right w:val="single" w:sz="18" w:space="0" w:color="auto"/>
            </w:tcBorders>
            <w:vAlign w:val="center"/>
            <w:hideMark/>
          </w:tcPr>
          <w:p w:rsidR="002C1559" w:rsidRDefault="002C1559" w:rsidP="00A8404D">
            <w:pPr>
              <w:jc w:val="center"/>
              <w:rPr>
                <w:rFonts w:ascii="Times New Roman" w:hAnsi="Times New Roman" w:cs="Times New Roman"/>
                <w:b/>
                <w:sz w:val="20"/>
                <w:szCs w:val="20"/>
              </w:rPr>
            </w:pPr>
            <w:r>
              <w:rPr>
                <w:rFonts w:ascii="Times New Roman" w:hAnsi="Times New Roman" w:cs="Times New Roman"/>
                <w:b/>
                <w:sz w:val="20"/>
                <w:szCs w:val="20"/>
              </w:rPr>
              <w:t>Правосуђе</w:t>
            </w:r>
          </w:p>
        </w:tc>
        <w:tc>
          <w:tcPr>
            <w:tcW w:w="923" w:type="dxa"/>
            <w:tcBorders>
              <w:top w:val="single" w:sz="4" w:space="0" w:color="auto"/>
              <w:left w:val="single" w:sz="18" w:space="0" w:color="auto"/>
              <w:bottom w:val="single" w:sz="4" w:space="0" w:color="auto"/>
              <w:right w:val="single" w:sz="4" w:space="0" w:color="auto"/>
            </w:tcBorders>
            <w:vAlign w:val="center"/>
          </w:tcPr>
          <w:p w:rsidR="002C1559" w:rsidRPr="008A275E" w:rsidRDefault="002C1559" w:rsidP="00A8404D">
            <w:pPr>
              <w:jc w:val="center"/>
              <w:rPr>
                <w:rFonts w:ascii="Times New Roman" w:hAnsi="Times New Roman" w:cs="Times New Roman"/>
                <w:sz w:val="20"/>
                <w:szCs w:val="20"/>
              </w:rPr>
            </w:pPr>
            <w:r>
              <w:rPr>
                <w:rFonts w:ascii="Times New Roman" w:hAnsi="Times New Roman" w:cs="Times New Roman"/>
                <w:sz w:val="20"/>
                <w:szCs w:val="20"/>
              </w:rPr>
              <w:t>533</w:t>
            </w:r>
          </w:p>
        </w:tc>
        <w:tc>
          <w:tcPr>
            <w:tcW w:w="543" w:type="dxa"/>
            <w:tcBorders>
              <w:top w:val="single" w:sz="4" w:space="0" w:color="auto"/>
              <w:left w:val="single" w:sz="4" w:space="0" w:color="auto"/>
              <w:bottom w:val="single" w:sz="4" w:space="0" w:color="auto"/>
              <w:right w:val="single" w:sz="4" w:space="0" w:color="auto"/>
            </w:tcBorders>
            <w:vAlign w:val="center"/>
          </w:tcPr>
          <w:p w:rsidR="002C1559" w:rsidRPr="0036162D" w:rsidRDefault="002C1559" w:rsidP="00A8404D">
            <w:pPr>
              <w:jc w:val="center"/>
              <w:rPr>
                <w:rFonts w:ascii="Times New Roman" w:hAnsi="Times New Roman" w:cs="Times New Roman"/>
                <w:color w:val="000000"/>
                <w:sz w:val="20"/>
                <w:szCs w:val="20"/>
              </w:rPr>
            </w:pPr>
            <w:r w:rsidRPr="0036162D">
              <w:rPr>
                <w:rFonts w:ascii="Times New Roman" w:hAnsi="Times New Roman" w:cs="Times New Roman"/>
                <w:color w:val="000000"/>
                <w:sz w:val="20"/>
                <w:szCs w:val="20"/>
              </w:rPr>
              <w:t>1</w:t>
            </w:r>
          </w:p>
        </w:tc>
        <w:tc>
          <w:tcPr>
            <w:tcW w:w="1306" w:type="dxa"/>
            <w:tcBorders>
              <w:top w:val="single" w:sz="4" w:space="0" w:color="auto"/>
              <w:left w:val="single" w:sz="4" w:space="0" w:color="auto"/>
              <w:bottom w:val="single" w:sz="4" w:space="0" w:color="auto"/>
              <w:right w:val="single" w:sz="4" w:space="0" w:color="auto"/>
            </w:tcBorders>
            <w:vAlign w:val="center"/>
          </w:tcPr>
          <w:p w:rsidR="002C1559" w:rsidRPr="0036162D" w:rsidRDefault="002C1559" w:rsidP="00A8404D">
            <w:pPr>
              <w:jc w:val="center"/>
              <w:rPr>
                <w:rFonts w:ascii="Times New Roman" w:hAnsi="Times New Roman" w:cs="Times New Roman"/>
                <w:color w:val="000000"/>
                <w:sz w:val="20"/>
                <w:szCs w:val="20"/>
              </w:rPr>
            </w:pPr>
            <w:r w:rsidRPr="0036162D">
              <w:rPr>
                <w:rFonts w:ascii="Times New Roman" w:hAnsi="Times New Roman" w:cs="Times New Roman"/>
                <w:color w:val="000000"/>
                <w:sz w:val="20"/>
                <w:szCs w:val="20"/>
              </w:rPr>
              <w:t>338.120</w:t>
            </w:r>
          </w:p>
        </w:tc>
        <w:tc>
          <w:tcPr>
            <w:tcW w:w="543" w:type="dxa"/>
            <w:tcBorders>
              <w:top w:val="single" w:sz="4" w:space="0" w:color="auto"/>
              <w:left w:val="single" w:sz="4" w:space="0" w:color="auto"/>
              <w:bottom w:val="single" w:sz="4" w:space="0" w:color="auto"/>
              <w:right w:val="single" w:sz="18" w:space="0" w:color="auto"/>
            </w:tcBorders>
            <w:vAlign w:val="center"/>
          </w:tcPr>
          <w:p w:rsidR="002C1559" w:rsidRPr="00571569" w:rsidRDefault="002C1559" w:rsidP="00A8404D">
            <w:pPr>
              <w:jc w:val="center"/>
              <w:rPr>
                <w:rFonts w:ascii="Times New Roman" w:hAnsi="Times New Roman" w:cs="Times New Roman"/>
                <w:color w:val="000000"/>
                <w:sz w:val="20"/>
                <w:szCs w:val="20"/>
              </w:rPr>
            </w:pPr>
            <w:r>
              <w:rPr>
                <w:rFonts w:ascii="Times New Roman" w:hAnsi="Times New Roman" w:cs="Times New Roman"/>
                <w:color w:val="000000"/>
                <w:sz w:val="20"/>
                <w:szCs w:val="20"/>
              </w:rPr>
              <w:t>0</w:t>
            </w:r>
          </w:p>
        </w:tc>
        <w:tc>
          <w:tcPr>
            <w:tcW w:w="923" w:type="dxa"/>
            <w:tcBorders>
              <w:top w:val="single" w:sz="4" w:space="0" w:color="auto"/>
              <w:left w:val="single" w:sz="18" w:space="0" w:color="auto"/>
              <w:bottom w:val="single" w:sz="4" w:space="0" w:color="auto"/>
              <w:right w:val="single" w:sz="4" w:space="0" w:color="auto"/>
            </w:tcBorders>
            <w:vAlign w:val="center"/>
          </w:tcPr>
          <w:p w:rsidR="002C1559" w:rsidRPr="00646515" w:rsidRDefault="002C1559" w:rsidP="00A8404D">
            <w:pPr>
              <w:jc w:val="center"/>
              <w:rPr>
                <w:color w:val="000000"/>
                <w:sz w:val="20"/>
                <w:szCs w:val="20"/>
              </w:rPr>
            </w:pPr>
            <w:r w:rsidRPr="00646515">
              <w:rPr>
                <w:color w:val="000000"/>
                <w:sz w:val="20"/>
                <w:szCs w:val="20"/>
              </w:rPr>
              <w:t>484</w:t>
            </w:r>
          </w:p>
        </w:tc>
        <w:tc>
          <w:tcPr>
            <w:tcW w:w="551" w:type="dxa"/>
            <w:tcBorders>
              <w:top w:val="single" w:sz="4" w:space="0" w:color="auto"/>
              <w:left w:val="single" w:sz="4" w:space="0" w:color="auto"/>
              <w:bottom w:val="single" w:sz="4" w:space="0" w:color="auto"/>
              <w:right w:val="single" w:sz="4" w:space="0" w:color="auto"/>
            </w:tcBorders>
            <w:vAlign w:val="center"/>
          </w:tcPr>
          <w:p w:rsidR="002C1559" w:rsidRPr="00646515" w:rsidRDefault="002C1559" w:rsidP="00A8404D">
            <w:pPr>
              <w:jc w:val="center"/>
              <w:rPr>
                <w:rFonts w:ascii="Calibri" w:hAnsi="Calibri" w:cs="Calibri"/>
                <w:color w:val="000000"/>
                <w:sz w:val="20"/>
                <w:szCs w:val="20"/>
              </w:rPr>
            </w:pPr>
            <w:r w:rsidRPr="00646515">
              <w:rPr>
                <w:rFonts w:ascii="Calibri" w:hAnsi="Calibri" w:cs="Calibri"/>
                <w:color w:val="000000"/>
                <w:sz w:val="20"/>
                <w:szCs w:val="20"/>
              </w:rPr>
              <w:t>1</w:t>
            </w:r>
          </w:p>
        </w:tc>
        <w:tc>
          <w:tcPr>
            <w:tcW w:w="1331" w:type="dxa"/>
            <w:tcBorders>
              <w:top w:val="single" w:sz="4" w:space="0" w:color="auto"/>
              <w:left w:val="single" w:sz="4" w:space="0" w:color="auto"/>
              <w:bottom w:val="single" w:sz="4" w:space="0" w:color="auto"/>
              <w:right w:val="single" w:sz="4" w:space="0" w:color="auto"/>
            </w:tcBorders>
            <w:vAlign w:val="center"/>
          </w:tcPr>
          <w:p w:rsidR="002C1559" w:rsidRPr="00A47EA4" w:rsidRDefault="00A1749B" w:rsidP="00A8404D">
            <w:pPr>
              <w:jc w:val="center"/>
              <w:rPr>
                <w:sz w:val="20"/>
                <w:szCs w:val="20"/>
                <w:lang w:val="sr-Cyrl-RS"/>
              </w:rPr>
            </w:pPr>
            <w:r w:rsidRPr="00A47EA4">
              <w:rPr>
                <w:sz w:val="20"/>
                <w:szCs w:val="20"/>
                <w:lang w:val="sr-Cyrl-RS"/>
              </w:rPr>
              <w:t>672.428</w:t>
            </w:r>
          </w:p>
        </w:tc>
        <w:tc>
          <w:tcPr>
            <w:tcW w:w="637" w:type="dxa"/>
            <w:tcBorders>
              <w:top w:val="single" w:sz="4" w:space="0" w:color="auto"/>
              <w:left w:val="single" w:sz="4" w:space="0" w:color="auto"/>
              <w:bottom w:val="single" w:sz="4" w:space="0" w:color="auto"/>
              <w:right w:val="single" w:sz="18" w:space="0" w:color="auto"/>
            </w:tcBorders>
            <w:vAlign w:val="center"/>
          </w:tcPr>
          <w:p w:rsidR="002C1559" w:rsidRPr="00A47EA4" w:rsidRDefault="00481B19" w:rsidP="00A8404D">
            <w:pPr>
              <w:jc w:val="center"/>
              <w:rPr>
                <w:rFonts w:ascii="Calibri" w:hAnsi="Calibri" w:cs="Calibri"/>
                <w:sz w:val="20"/>
                <w:szCs w:val="20"/>
                <w:lang w:val="sr-Cyrl-RS"/>
              </w:rPr>
            </w:pPr>
            <w:r w:rsidRPr="00A47EA4">
              <w:rPr>
                <w:rFonts w:ascii="Calibri" w:hAnsi="Calibri" w:cs="Calibri"/>
                <w:sz w:val="20"/>
                <w:szCs w:val="20"/>
                <w:lang w:val="sr-Cyrl-RS"/>
              </w:rPr>
              <w:t>0</w:t>
            </w:r>
          </w:p>
        </w:tc>
      </w:tr>
      <w:tr w:rsidR="002C1559" w:rsidTr="00A8404D">
        <w:tblPrEx>
          <w:tblLook w:val="04A0" w:firstRow="1" w:lastRow="0" w:firstColumn="1" w:lastColumn="0" w:noHBand="0" w:noVBand="1"/>
        </w:tblPrEx>
        <w:trPr>
          <w:jc w:val="center"/>
        </w:trPr>
        <w:tc>
          <w:tcPr>
            <w:tcW w:w="2136" w:type="dxa"/>
            <w:tcBorders>
              <w:top w:val="single" w:sz="4" w:space="0" w:color="auto"/>
              <w:left w:val="single" w:sz="18" w:space="0" w:color="auto"/>
              <w:bottom w:val="single" w:sz="4" w:space="0" w:color="auto"/>
              <w:right w:val="single" w:sz="18" w:space="0" w:color="auto"/>
            </w:tcBorders>
            <w:vAlign w:val="center"/>
            <w:hideMark/>
          </w:tcPr>
          <w:p w:rsidR="002C1559" w:rsidRDefault="002C1559" w:rsidP="00A8404D">
            <w:pPr>
              <w:jc w:val="center"/>
              <w:rPr>
                <w:rFonts w:ascii="Times New Roman" w:hAnsi="Times New Roman" w:cs="Times New Roman"/>
                <w:b/>
                <w:sz w:val="20"/>
                <w:szCs w:val="20"/>
              </w:rPr>
            </w:pPr>
            <w:r>
              <w:rPr>
                <w:rFonts w:ascii="Times New Roman" w:hAnsi="Times New Roman" w:cs="Times New Roman"/>
                <w:b/>
                <w:sz w:val="20"/>
                <w:szCs w:val="20"/>
              </w:rPr>
              <w:t>Здравство и социјална заштита</w:t>
            </w:r>
          </w:p>
        </w:tc>
        <w:tc>
          <w:tcPr>
            <w:tcW w:w="923" w:type="dxa"/>
            <w:tcBorders>
              <w:top w:val="single" w:sz="4" w:space="0" w:color="auto"/>
              <w:left w:val="single" w:sz="18" w:space="0" w:color="auto"/>
              <w:bottom w:val="single" w:sz="4" w:space="0" w:color="auto"/>
              <w:right w:val="single" w:sz="4" w:space="0" w:color="auto"/>
            </w:tcBorders>
            <w:vAlign w:val="center"/>
          </w:tcPr>
          <w:p w:rsidR="002C1559" w:rsidRPr="008A275E" w:rsidRDefault="002C1559" w:rsidP="00A8404D">
            <w:pPr>
              <w:jc w:val="center"/>
              <w:rPr>
                <w:rFonts w:ascii="Times New Roman" w:hAnsi="Times New Roman" w:cs="Times New Roman"/>
                <w:sz w:val="20"/>
                <w:szCs w:val="20"/>
              </w:rPr>
            </w:pPr>
            <w:r>
              <w:rPr>
                <w:rFonts w:ascii="Times New Roman" w:hAnsi="Times New Roman" w:cs="Times New Roman"/>
                <w:sz w:val="20"/>
                <w:szCs w:val="20"/>
              </w:rPr>
              <w:t>13.515</w:t>
            </w:r>
          </w:p>
        </w:tc>
        <w:tc>
          <w:tcPr>
            <w:tcW w:w="543" w:type="dxa"/>
            <w:tcBorders>
              <w:top w:val="single" w:sz="4" w:space="0" w:color="auto"/>
              <w:left w:val="single" w:sz="4" w:space="0" w:color="auto"/>
              <w:bottom w:val="single" w:sz="4" w:space="0" w:color="auto"/>
              <w:right w:val="single" w:sz="4" w:space="0" w:color="auto"/>
            </w:tcBorders>
            <w:vAlign w:val="center"/>
          </w:tcPr>
          <w:p w:rsidR="002C1559" w:rsidRPr="0036162D" w:rsidRDefault="002C1559" w:rsidP="00A8404D">
            <w:pPr>
              <w:jc w:val="center"/>
              <w:rPr>
                <w:rFonts w:ascii="Times New Roman" w:hAnsi="Times New Roman" w:cs="Times New Roman"/>
                <w:color w:val="000000"/>
                <w:sz w:val="20"/>
                <w:szCs w:val="20"/>
              </w:rPr>
            </w:pPr>
            <w:r w:rsidRPr="0036162D">
              <w:rPr>
                <w:rFonts w:ascii="Times New Roman" w:hAnsi="Times New Roman" w:cs="Times New Roman"/>
                <w:color w:val="000000"/>
                <w:sz w:val="20"/>
                <w:szCs w:val="20"/>
              </w:rPr>
              <w:t>30</w:t>
            </w:r>
          </w:p>
        </w:tc>
        <w:tc>
          <w:tcPr>
            <w:tcW w:w="1306" w:type="dxa"/>
            <w:tcBorders>
              <w:top w:val="single" w:sz="4" w:space="0" w:color="auto"/>
              <w:left w:val="single" w:sz="4" w:space="0" w:color="auto"/>
              <w:bottom w:val="single" w:sz="4" w:space="0" w:color="auto"/>
              <w:right w:val="single" w:sz="4" w:space="0" w:color="auto"/>
            </w:tcBorders>
            <w:vAlign w:val="center"/>
          </w:tcPr>
          <w:p w:rsidR="002C1559" w:rsidRPr="0036162D" w:rsidRDefault="002C1559" w:rsidP="00A8404D">
            <w:pPr>
              <w:jc w:val="center"/>
              <w:rPr>
                <w:rFonts w:ascii="Times New Roman" w:hAnsi="Times New Roman" w:cs="Times New Roman"/>
                <w:color w:val="000000"/>
                <w:sz w:val="20"/>
                <w:szCs w:val="20"/>
              </w:rPr>
            </w:pPr>
            <w:r w:rsidRPr="0036162D">
              <w:rPr>
                <w:rFonts w:ascii="Times New Roman" w:hAnsi="Times New Roman" w:cs="Times New Roman"/>
                <w:color w:val="000000"/>
                <w:sz w:val="20"/>
                <w:szCs w:val="20"/>
              </w:rPr>
              <w:t>28.888.675</w:t>
            </w:r>
          </w:p>
        </w:tc>
        <w:tc>
          <w:tcPr>
            <w:tcW w:w="543" w:type="dxa"/>
            <w:tcBorders>
              <w:top w:val="single" w:sz="4" w:space="0" w:color="auto"/>
              <w:left w:val="single" w:sz="4" w:space="0" w:color="auto"/>
              <w:bottom w:val="single" w:sz="4" w:space="0" w:color="auto"/>
              <w:right w:val="single" w:sz="18" w:space="0" w:color="auto"/>
            </w:tcBorders>
            <w:vAlign w:val="center"/>
          </w:tcPr>
          <w:p w:rsidR="002C1559" w:rsidRPr="00571569" w:rsidRDefault="002C1559" w:rsidP="00A8404D">
            <w:pPr>
              <w:jc w:val="center"/>
              <w:rPr>
                <w:rFonts w:ascii="Times New Roman" w:hAnsi="Times New Roman" w:cs="Times New Roman"/>
                <w:color w:val="000000"/>
                <w:sz w:val="20"/>
                <w:szCs w:val="20"/>
              </w:rPr>
            </w:pPr>
            <w:r>
              <w:rPr>
                <w:rFonts w:ascii="Times New Roman" w:hAnsi="Times New Roman" w:cs="Times New Roman"/>
                <w:color w:val="000000"/>
                <w:sz w:val="20"/>
                <w:szCs w:val="20"/>
              </w:rPr>
              <w:t>21</w:t>
            </w:r>
          </w:p>
        </w:tc>
        <w:tc>
          <w:tcPr>
            <w:tcW w:w="923" w:type="dxa"/>
            <w:tcBorders>
              <w:top w:val="single" w:sz="4" w:space="0" w:color="auto"/>
              <w:left w:val="single" w:sz="18" w:space="0" w:color="auto"/>
              <w:bottom w:val="single" w:sz="4" w:space="0" w:color="auto"/>
              <w:right w:val="single" w:sz="4" w:space="0" w:color="auto"/>
            </w:tcBorders>
            <w:vAlign w:val="center"/>
          </w:tcPr>
          <w:p w:rsidR="002C1559" w:rsidRPr="00646515" w:rsidRDefault="002C1559" w:rsidP="00A8404D">
            <w:pPr>
              <w:jc w:val="center"/>
              <w:rPr>
                <w:color w:val="000000"/>
                <w:sz w:val="20"/>
                <w:szCs w:val="20"/>
              </w:rPr>
            </w:pPr>
            <w:r w:rsidRPr="00646515">
              <w:rPr>
                <w:color w:val="000000"/>
                <w:sz w:val="20"/>
                <w:szCs w:val="20"/>
              </w:rPr>
              <w:t>15.187</w:t>
            </w:r>
          </w:p>
        </w:tc>
        <w:tc>
          <w:tcPr>
            <w:tcW w:w="551" w:type="dxa"/>
            <w:tcBorders>
              <w:top w:val="single" w:sz="4" w:space="0" w:color="auto"/>
              <w:left w:val="single" w:sz="4" w:space="0" w:color="auto"/>
              <w:bottom w:val="single" w:sz="4" w:space="0" w:color="auto"/>
              <w:right w:val="single" w:sz="4" w:space="0" w:color="auto"/>
            </w:tcBorders>
            <w:vAlign w:val="center"/>
          </w:tcPr>
          <w:p w:rsidR="002C1559" w:rsidRPr="00646515" w:rsidRDefault="002C1559" w:rsidP="00A8404D">
            <w:pPr>
              <w:jc w:val="center"/>
              <w:rPr>
                <w:rFonts w:ascii="Calibri" w:hAnsi="Calibri" w:cs="Calibri"/>
                <w:color w:val="000000"/>
                <w:sz w:val="20"/>
                <w:szCs w:val="20"/>
              </w:rPr>
            </w:pPr>
            <w:r w:rsidRPr="00646515">
              <w:rPr>
                <w:rFonts w:ascii="Calibri" w:hAnsi="Calibri" w:cs="Calibri"/>
                <w:color w:val="000000"/>
                <w:sz w:val="20"/>
                <w:szCs w:val="20"/>
              </w:rPr>
              <w:t>36</w:t>
            </w:r>
          </w:p>
        </w:tc>
        <w:tc>
          <w:tcPr>
            <w:tcW w:w="1331" w:type="dxa"/>
            <w:tcBorders>
              <w:top w:val="single" w:sz="4" w:space="0" w:color="auto"/>
              <w:left w:val="single" w:sz="4" w:space="0" w:color="auto"/>
              <w:bottom w:val="single" w:sz="4" w:space="0" w:color="auto"/>
              <w:right w:val="single" w:sz="4" w:space="0" w:color="auto"/>
            </w:tcBorders>
            <w:vAlign w:val="center"/>
          </w:tcPr>
          <w:p w:rsidR="002C1559" w:rsidRPr="00A47EA4" w:rsidRDefault="00A1749B" w:rsidP="00A8404D">
            <w:pPr>
              <w:jc w:val="center"/>
              <w:rPr>
                <w:sz w:val="20"/>
                <w:szCs w:val="20"/>
                <w:lang w:val="sr-Cyrl-RS"/>
              </w:rPr>
            </w:pPr>
            <w:r w:rsidRPr="00A47EA4">
              <w:rPr>
                <w:sz w:val="20"/>
                <w:szCs w:val="20"/>
                <w:lang w:val="sr-Cyrl-RS"/>
              </w:rPr>
              <w:t>45.369.467</w:t>
            </w:r>
          </w:p>
        </w:tc>
        <w:tc>
          <w:tcPr>
            <w:tcW w:w="637" w:type="dxa"/>
            <w:tcBorders>
              <w:top w:val="single" w:sz="4" w:space="0" w:color="auto"/>
              <w:left w:val="single" w:sz="4" w:space="0" w:color="auto"/>
              <w:bottom w:val="single" w:sz="4" w:space="0" w:color="auto"/>
              <w:right w:val="single" w:sz="18" w:space="0" w:color="auto"/>
            </w:tcBorders>
            <w:vAlign w:val="center"/>
          </w:tcPr>
          <w:p w:rsidR="002C1559" w:rsidRPr="00A47EA4" w:rsidRDefault="00481B19" w:rsidP="00A8404D">
            <w:pPr>
              <w:jc w:val="center"/>
              <w:rPr>
                <w:rFonts w:ascii="Calibri" w:hAnsi="Calibri" w:cs="Calibri"/>
                <w:sz w:val="20"/>
                <w:szCs w:val="20"/>
                <w:lang w:val="sr-Cyrl-RS"/>
              </w:rPr>
            </w:pPr>
            <w:r w:rsidRPr="00A47EA4">
              <w:rPr>
                <w:rFonts w:ascii="Calibri" w:hAnsi="Calibri" w:cs="Calibri"/>
                <w:sz w:val="20"/>
                <w:szCs w:val="20"/>
                <w:lang w:val="sr-Cyrl-RS"/>
              </w:rPr>
              <w:t>31</w:t>
            </w:r>
          </w:p>
        </w:tc>
      </w:tr>
      <w:tr w:rsidR="002C1559" w:rsidTr="00A8404D">
        <w:tblPrEx>
          <w:tblLook w:val="04A0" w:firstRow="1" w:lastRow="0" w:firstColumn="1" w:lastColumn="0" w:noHBand="0" w:noVBand="1"/>
        </w:tblPrEx>
        <w:trPr>
          <w:jc w:val="center"/>
        </w:trPr>
        <w:tc>
          <w:tcPr>
            <w:tcW w:w="2136" w:type="dxa"/>
            <w:tcBorders>
              <w:top w:val="single" w:sz="4" w:space="0" w:color="auto"/>
              <w:left w:val="single" w:sz="18" w:space="0" w:color="auto"/>
              <w:bottom w:val="single" w:sz="4" w:space="0" w:color="auto"/>
              <w:right w:val="single" w:sz="18" w:space="0" w:color="auto"/>
            </w:tcBorders>
            <w:vAlign w:val="center"/>
            <w:hideMark/>
          </w:tcPr>
          <w:p w:rsidR="002C1559" w:rsidRDefault="002C1559" w:rsidP="00A8404D">
            <w:pPr>
              <w:jc w:val="center"/>
              <w:rPr>
                <w:rFonts w:ascii="Times New Roman" w:hAnsi="Times New Roman" w:cs="Times New Roman"/>
                <w:b/>
                <w:sz w:val="20"/>
                <w:szCs w:val="20"/>
              </w:rPr>
            </w:pPr>
            <w:r>
              <w:rPr>
                <w:rFonts w:ascii="Times New Roman" w:hAnsi="Times New Roman" w:cs="Times New Roman"/>
                <w:b/>
                <w:sz w:val="20"/>
                <w:szCs w:val="20"/>
              </w:rPr>
              <w:t>Култура</w:t>
            </w:r>
          </w:p>
        </w:tc>
        <w:tc>
          <w:tcPr>
            <w:tcW w:w="923" w:type="dxa"/>
            <w:tcBorders>
              <w:top w:val="single" w:sz="4" w:space="0" w:color="auto"/>
              <w:left w:val="single" w:sz="18" w:space="0" w:color="auto"/>
              <w:bottom w:val="single" w:sz="4" w:space="0" w:color="auto"/>
              <w:right w:val="single" w:sz="4" w:space="0" w:color="auto"/>
            </w:tcBorders>
            <w:vAlign w:val="center"/>
          </w:tcPr>
          <w:p w:rsidR="002C1559" w:rsidRPr="008A275E" w:rsidRDefault="002C1559" w:rsidP="00A8404D">
            <w:pPr>
              <w:jc w:val="center"/>
              <w:rPr>
                <w:rFonts w:ascii="Times New Roman" w:hAnsi="Times New Roman" w:cs="Times New Roman"/>
                <w:sz w:val="20"/>
                <w:szCs w:val="20"/>
              </w:rPr>
            </w:pPr>
            <w:r>
              <w:rPr>
                <w:rFonts w:ascii="Times New Roman" w:hAnsi="Times New Roman" w:cs="Times New Roman"/>
                <w:sz w:val="20"/>
                <w:szCs w:val="20"/>
              </w:rPr>
              <w:t>898</w:t>
            </w:r>
          </w:p>
        </w:tc>
        <w:tc>
          <w:tcPr>
            <w:tcW w:w="543" w:type="dxa"/>
            <w:tcBorders>
              <w:top w:val="single" w:sz="4" w:space="0" w:color="auto"/>
              <w:left w:val="single" w:sz="4" w:space="0" w:color="auto"/>
              <w:bottom w:val="single" w:sz="4" w:space="0" w:color="auto"/>
              <w:right w:val="single" w:sz="4" w:space="0" w:color="auto"/>
            </w:tcBorders>
            <w:vAlign w:val="center"/>
          </w:tcPr>
          <w:p w:rsidR="002C1559" w:rsidRPr="0036162D" w:rsidRDefault="002C1559" w:rsidP="00A8404D">
            <w:pPr>
              <w:jc w:val="center"/>
              <w:rPr>
                <w:rFonts w:ascii="Times New Roman" w:hAnsi="Times New Roman" w:cs="Times New Roman"/>
                <w:color w:val="000000"/>
                <w:sz w:val="20"/>
                <w:szCs w:val="20"/>
              </w:rPr>
            </w:pPr>
            <w:r w:rsidRPr="0036162D">
              <w:rPr>
                <w:rFonts w:ascii="Times New Roman" w:hAnsi="Times New Roman" w:cs="Times New Roman"/>
                <w:color w:val="000000"/>
                <w:sz w:val="20"/>
                <w:szCs w:val="20"/>
              </w:rPr>
              <w:t>2</w:t>
            </w:r>
          </w:p>
        </w:tc>
        <w:tc>
          <w:tcPr>
            <w:tcW w:w="1306" w:type="dxa"/>
            <w:tcBorders>
              <w:top w:val="single" w:sz="4" w:space="0" w:color="auto"/>
              <w:left w:val="single" w:sz="4" w:space="0" w:color="auto"/>
              <w:bottom w:val="single" w:sz="4" w:space="0" w:color="auto"/>
              <w:right w:val="single" w:sz="4" w:space="0" w:color="auto"/>
            </w:tcBorders>
            <w:vAlign w:val="center"/>
          </w:tcPr>
          <w:p w:rsidR="002C1559" w:rsidRPr="0036162D" w:rsidRDefault="002C1559" w:rsidP="00A8404D">
            <w:pPr>
              <w:jc w:val="center"/>
              <w:rPr>
                <w:rFonts w:ascii="Times New Roman" w:hAnsi="Times New Roman" w:cs="Times New Roman"/>
                <w:color w:val="000000"/>
                <w:sz w:val="20"/>
                <w:szCs w:val="20"/>
              </w:rPr>
            </w:pPr>
            <w:r w:rsidRPr="0036162D">
              <w:rPr>
                <w:rFonts w:ascii="Times New Roman" w:hAnsi="Times New Roman" w:cs="Times New Roman"/>
                <w:color w:val="000000"/>
                <w:sz w:val="20"/>
                <w:szCs w:val="20"/>
              </w:rPr>
              <w:t>753.744</w:t>
            </w:r>
          </w:p>
        </w:tc>
        <w:tc>
          <w:tcPr>
            <w:tcW w:w="543" w:type="dxa"/>
            <w:tcBorders>
              <w:top w:val="single" w:sz="4" w:space="0" w:color="auto"/>
              <w:left w:val="single" w:sz="4" w:space="0" w:color="auto"/>
              <w:bottom w:val="single" w:sz="4" w:space="0" w:color="auto"/>
              <w:right w:val="single" w:sz="18" w:space="0" w:color="auto"/>
            </w:tcBorders>
            <w:vAlign w:val="center"/>
          </w:tcPr>
          <w:p w:rsidR="002C1559" w:rsidRPr="00571569" w:rsidRDefault="002C1559" w:rsidP="00A8404D">
            <w:pPr>
              <w:jc w:val="center"/>
              <w:rPr>
                <w:rFonts w:ascii="Times New Roman" w:hAnsi="Times New Roman" w:cs="Times New Roman"/>
                <w:color w:val="000000"/>
                <w:sz w:val="20"/>
                <w:szCs w:val="20"/>
              </w:rPr>
            </w:pPr>
            <w:r>
              <w:rPr>
                <w:rFonts w:ascii="Times New Roman" w:hAnsi="Times New Roman" w:cs="Times New Roman"/>
                <w:color w:val="000000"/>
                <w:sz w:val="20"/>
                <w:szCs w:val="20"/>
              </w:rPr>
              <w:t>1</w:t>
            </w:r>
          </w:p>
        </w:tc>
        <w:tc>
          <w:tcPr>
            <w:tcW w:w="923" w:type="dxa"/>
            <w:tcBorders>
              <w:top w:val="single" w:sz="4" w:space="0" w:color="auto"/>
              <w:left w:val="single" w:sz="18" w:space="0" w:color="auto"/>
              <w:bottom w:val="single" w:sz="4" w:space="0" w:color="auto"/>
              <w:right w:val="single" w:sz="4" w:space="0" w:color="auto"/>
            </w:tcBorders>
            <w:vAlign w:val="center"/>
          </w:tcPr>
          <w:p w:rsidR="002C1559" w:rsidRPr="00646515" w:rsidRDefault="002C1559" w:rsidP="00A8404D">
            <w:pPr>
              <w:jc w:val="center"/>
              <w:rPr>
                <w:color w:val="000000"/>
                <w:sz w:val="20"/>
                <w:szCs w:val="20"/>
              </w:rPr>
            </w:pPr>
            <w:r w:rsidRPr="00646515">
              <w:rPr>
                <w:color w:val="000000"/>
                <w:sz w:val="20"/>
                <w:szCs w:val="20"/>
              </w:rPr>
              <w:t>930</w:t>
            </w:r>
          </w:p>
        </w:tc>
        <w:tc>
          <w:tcPr>
            <w:tcW w:w="551" w:type="dxa"/>
            <w:tcBorders>
              <w:top w:val="single" w:sz="4" w:space="0" w:color="auto"/>
              <w:left w:val="single" w:sz="4" w:space="0" w:color="auto"/>
              <w:bottom w:val="single" w:sz="4" w:space="0" w:color="auto"/>
              <w:right w:val="single" w:sz="4" w:space="0" w:color="auto"/>
            </w:tcBorders>
            <w:vAlign w:val="center"/>
          </w:tcPr>
          <w:p w:rsidR="002C1559" w:rsidRPr="00646515" w:rsidRDefault="002C1559" w:rsidP="00A8404D">
            <w:pPr>
              <w:jc w:val="center"/>
              <w:rPr>
                <w:rFonts w:ascii="Calibri" w:hAnsi="Calibri" w:cs="Calibri"/>
                <w:color w:val="000000"/>
                <w:sz w:val="20"/>
                <w:szCs w:val="20"/>
              </w:rPr>
            </w:pPr>
            <w:r w:rsidRPr="00646515">
              <w:rPr>
                <w:rFonts w:ascii="Calibri" w:hAnsi="Calibri" w:cs="Calibri"/>
                <w:color w:val="000000"/>
                <w:sz w:val="20"/>
                <w:szCs w:val="20"/>
              </w:rPr>
              <w:t>2</w:t>
            </w:r>
          </w:p>
        </w:tc>
        <w:tc>
          <w:tcPr>
            <w:tcW w:w="1331" w:type="dxa"/>
            <w:tcBorders>
              <w:top w:val="single" w:sz="4" w:space="0" w:color="auto"/>
              <w:left w:val="single" w:sz="4" w:space="0" w:color="auto"/>
              <w:bottom w:val="single" w:sz="4" w:space="0" w:color="auto"/>
              <w:right w:val="single" w:sz="4" w:space="0" w:color="auto"/>
            </w:tcBorders>
            <w:vAlign w:val="center"/>
          </w:tcPr>
          <w:p w:rsidR="002C1559" w:rsidRPr="00A47EA4" w:rsidRDefault="002C1559" w:rsidP="00A8404D">
            <w:pPr>
              <w:jc w:val="center"/>
              <w:rPr>
                <w:sz w:val="20"/>
                <w:szCs w:val="20"/>
              </w:rPr>
            </w:pPr>
            <w:r w:rsidRPr="00A47EA4">
              <w:rPr>
                <w:sz w:val="20"/>
                <w:szCs w:val="20"/>
              </w:rPr>
              <w:t>775.468</w:t>
            </w:r>
          </w:p>
        </w:tc>
        <w:tc>
          <w:tcPr>
            <w:tcW w:w="637" w:type="dxa"/>
            <w:tcBorders>
              <w:top w:val="single" w:sz="4" w:space="0" w:color="auto"/>
              <w:left w:val="single" w:sz="4" w:space="0" w:color="auto"/>
              <w:bottom w:val="single" w:sz="4" w:space="0" w:color="auto"/>
              <w:right w:val="single" w:sz="18" w:space="0" w:color="auto"/>
            </w:tcBorders>
            <w:vAlign w:val="center"/>
          </w:tcPr>
          <w:p w:rsidR="002C1559" w:rsidRPr="00A47EA4" w:rsidRDefault="00481B19" w:rsidP="00A8404D">
            <w:pPr>
              <w:jc w:val="center"/>
              <w:rPr>
                <w:rFonts w:ascii="Calibri" w:hAnsi="Calibri" w:cs="Calibri"/>
                <w:sz w:val="20"/>
                <w:szCs w:val="20"/>
                <w:lang w:val="sr-Cyrl-RS"/>
              </w:rPr>
            </w:pPr>
            <w:r w:rsidRPr="00A47EA4">
              <w:rPr>
                <w:rFonts w:ascii="Calibri" w:hAnsi="Calibri" w:cs="Calibri"/>
                <w:sz w:val="20"/>
                <w:szCs w:val="20"/>
                <w:lang w:val="sr-Cyrl-RS"/>
              </w:rPr>
              <w:t>1</w:t>
            </w:r>
          </w:p>
        </w:tc>
      </w:tr>
      <w:tr w:rsidR="002C1559" w:rsidTr="00A8404D">
        <w:tblPrEx>
          <w:tblLook w:val="04A0" w:firstRow="1" w:lastRow="0" w:firstColumn="1" w:lastColumn="0" w:noHBand="0" w:noVBand="1"/>
        </w:tblPrEx>
        <w:trPr>
          <w:jc w:val="center"/>
        </w:trPr>
        <w:tc>
          <w:tcPr>
            <w:tcW w:w="2136" w:type="dxa"/>
            <w:tcBorders>
              <w:top w:val="single" w:sz="4" w:space="0" w:color="auto"/>
              <w:left w:val="single" w:sz="18" w:space="0" w:color="auto"/>
              <w:bottom w:val="single" w:sz="4" w:space="0" w:color="auto"/>
              <w:right w:val="single" w:sz="18" w:space="0" w:color="auto"/>
            </w:tcBorders>
            <w:vAlign w:val="center"/>
            <w:hideMark/>
          </w:tcPr>
          <w:p w:rsidR="002C1559" w:rsidRPr="00066BD4" w:rsidRDefault="002C1559" w:rsidP="00A8404D">
            <w:pPr>
              <w:jc w:val="center"/>
              <w:rPr>
                <w:rFonts w:ascii="Times New Roman" w:hAnsi="Times New Roman" w:cs="Times New Roman"/>
                <w:b/>
                <w:sz w:val="20"/>
                <w:szCs w:val="20"/>
              </w:rPr>
            </w:pPr>
            <w:r>
              <w:rPr>
                <w:rFonts w:ascii="Times New Roman" w:hAnsi="Times New Roman" w:cs="Times New Roman"/>
                <w:b/>
                <w:sz w:val="20"/>
                <w:szCs w:val="20"/>
              </w:rPr>
              <w:t>Просвета и наука</w:t>
            </w:r>
          </w:p>
        </w:tc>
        <w:tc>
          <w:tcPr>
            <w:tcW w:w="923" w:type="dxa"/>
            <w:tcBorders>
              <w:top w:val="single" w:sz="4" w:space="0" w:color="auto"/>
              <w:left w:val="single" w:sz="18" w:space="0" w:color="auto"/>
              <w:bottom w:val="single" w:sz="4" w:space="0" w:color="auto"/>
              <w:right w:val="single" w:sz="4" w:space="0" w:color="auto"/>
            </w:tcBorders>
            <w:vAlign w:val="center"/>
          </w:tcPr>
          <w:p w:rsidR="002C1559" w:rsidRPr="008A275E" w:rsidRDefault="002C1559" w:rsidP="00A8404D">
            <w:pPr>
              <w:jc w:val="center"/>
              <w:rPr>
                <w:rFonts w:ascii="Times New Roman" w:hAnsi="Times New Roman" w:cs="Times New Roman"/>
                <w:sz w:val="20"/>
                <w:szCs w:val="20"/>
              </w:rPr>
            </w:pPr>
            <w:r>
              <w:rPr>
                <w:rFonts w:ascii="Times New Roman" w:hAnsi="Times New Roman" w:cs="Times New Roman"/>
                <w:sz w:val="20"/>
                <w:szCs w:val="20"/>
              </w:rPr>
              <w:t>4.604</w:t>
            </w:r>
          </w:p>
        </w:tc>
        <w:tc>
          <w:tcPr>
            <w:tcW w:w="543" w:type="dxa"/>
            <w:tcBorders>
              <w:top w:val="single" w:sz="4" w:space="0" w:color="auto"/>
              <w:left w:val="single" w:sz="4" w:space="0" w:color="auto"/>
              <w:bottom w:val="single" w:sz="4" w:space="0" w:color="auto"/>
              <w:right w:val="single" w:sz="4" w:space="0" w:color="auto"/>
            </w:tcBorders>
            <w:vAlign w:val="center"/>
          </w:tcPr>
          <w:p w:rsidR="002C1559" w:rsidRPr="0036162D" w:rsidRDefault="002C1559" w:rsidP="00A8404D">
            <w:pPr>
              <w:jc w:val="center"/>
              <w:rPr>
                <w:rFonts w:ascii="Times New Roman" w:hAnsi="Times New Roman" w:cs="Times New Roman"/>
                <w:color w:val="000000"/>
                <w:sz w:val="20"/>
                <w:szCs w:val="20"/>
              </w:rPr>
            </w:pPr>
            <w:r w:rsidRPr="0036162D">
              <w:rPr>
                <w:rFonts w:ascii="Times New Roman" w:hAnsi="Times New Roman" w:cs="Times New Roman"/>
                <w:color w:val="000000"/>
                <w:sz w:val="20"/>
                <w:szCs w:val="20"/>
              </w:rPr>
              <w:t>10</w:t>
            </w:r>
          </w:p>
        </w:tc>
        <w:tc>
          <w:tcPr>
            <w:tcW w:w="1306" w:type="dxa"/>
            <w:tcBorders>
              <w:top w:val="single" w:sz="4" w:space="0" w:color="auto"/>
              <w:left w:val="single" w:sz="4" w:space="0" w:color="auto"/>
              <w:bottom w:val="single" w:sz="4" w:space="0" w:color="auto"/>
              <w:right w:val="single" w:sz="4" w:space="0" w:color="auto"/>
            </w:tcBorders>
            <w:vAlign w:val="center"/>
          </w:tcPr>
          <w:p w:rsidR="002C1559" w:rsidRPr="0036162D" w:rsidRDefault="002C1559" w:rsidP="00A8404D">
            <w:pPr>
              <w:jc w:val="center"/>
              <w:rPr>
                <w:rFonts w:ascii="Times New Roman" w:hAnsi="Times New Roman" w:cs="Times New Roman"/>
                <w:color w:val="000000"/>
                <w:sz w:val="20"/>
                <w:szCs w:val="20"/>
              </w:rPr>
            </w:pPr>
            <w:r w:rsidRPr="0036162D">
              <w:rPr>
                <w:rFonts w:ascii="Times New Roman" w:hAnsi="Times New Roman" w:cs="Times New Roman"/>
                <w:color w:val="000000"/>
                <w:sz w:val="20"/>
                <w:szCs w:val="20"/>
              </w:rPr>
              <w:t>7.787.958</w:t>
            </w:r>
          </w:p>
        </w:tc>
        <w:tc>
          <w:tcPr>
            <w:tcW w:w="543" w:type="dxa"/>
            <w:tcBorders>
              <w:top w:val="single" w:sz="4" w:space="0" w:color="auto"/>
              <w:left w:val="single" w:sz="4" w:space="0" w:color="auto"/>
              <w:bottom w:val="single" w:sz="4" w:space="0" w:color="auto"/>
              <w:right w:val="single" w:sz="18" w:space="0" w:color="auto"/>
            </w:tcBorders>
            <w:vAlign w:val="center"/>
          </w:tcPr>
          <w:p w:rsidR="002C1559" w:rsidRPr="00571569" w:rsidRDefault="002C1559" w:rsidP="00A8404D">
            <w:pPr>
              <w:jc w:val="center"/>
              <w:rPr>
                <w:rFonts w:ascii="Times New Roman" w:hAnsi="Times New Roman" w:cs="Times New Roman"/>
                <w:color w:val="000000"/>
                <w:sz w:val="20"/>
                <w:szCs w:val="20"/>
              </w:rPr>
            </w:pPr>
            <w:r>
              <w:rPr>
                <w:rFonts w:ascii="Times New Roman" w:hAnsi="Times New Roman" w:cs="Times New Roman"/>
                <w:color w:val="000000"/>
                <w:sz w:val="20"/>
                <w:szCs w:val="20"/>
              </w:rPr>
              <w:t>6</w:t>
            </w:r>
          </w:p>
        </w:tc>
        <w:tc>
          <w:tcPr>
            <w:tcW w:w="923" w:type="dxa"/>
            <w:tcBorders>
              <w:top w:val="single" w:sz="4" w:space="0" w:color="auto"/>
              <w:left w:val="single" w:sz="18" w:space="0" w:color="auto"/>
              <w:bottom w:val="single" w:sz="4" w:space="0" w:color="auto"/>
              <w:right w:val="single" w:sz="4" w:space="0" w:color="auto"/>
            </w:tcBorders>
            <w:vAlign w:val="center"/>
          </w:tcPr>
          <w:p w:rsidR="002C1559" w:rsidRPr="00646515" w:rsidRDefault="002C1559" w:rsidP="00A8404D">
            <w:pPr>
              <w:jc w:val="center"/>
              <w:rPr>
                <w:color w:val="000000"/>
                <w:sz w:val="20"/>
                <w:szCs w:val="20"/>
              </w:rPr>
            </w:pPr>
            <w:r w:rsidRPr="00646515">
              <w:rPr>
                <w:color w:val="000000"/>
                <w:sz w:val="20"/>
                <w:szCs w:val="20"/>
              </w:rPr>
              <w:t>6.265</w:t>
            </w:r>
          </w:p>
        </w:tc>
        <w:tc>
          <w:tcPr>
            <w:tcW w:w="551" w:type="dxa"/>
            <w:tcBorders>
              <w:top w:val="single" w:sz="4" w:space="0" w:color="auto"/>
              <w:left w:val="single" w:sz="4" w:space="0" w:color="auto"/>
              <w:bottom w:val="single" w:sz="4" w:space="0" w:color="auto"/>
              <w:right w:val="single" w:sz="4" w:space="0" w:color="auto"/>
            </w:tcBorders>
            <w:vAlign w:val="center"/>
          </w:tcPr>
          <w:p w:rsidR="002C1559" w:rsidRPr="00646515" w:rsidRDefault="002C1559" w:rsidP="00A8404D">
            <w:pPr>
              <w:jc w:val="center"/>
              <w:rPr>
                <w:rFonts w:ascii="Calibri" w:hAnsi="Calibri" w:cs="Calibri"/>
                <w:color w:val="000000"/>
                <w:sz w:val="20"/>
                <w:szCs w:val="20"/>
              </w:rPr>
            </w:pPr>
            <w:r w:rsidRPr="00646515">
              <w:rPr>
                <w:rFonts w:ascii="Calibri" w:hAnsi="Calibri" w:cs="Calibri"/>
                <w:color w:val="000000"/>
                <w:sz w:val="20"/>
                <w:szCs w:val="20"/>
              </w:rPr>
              <w:t>15</w:t>
            </w:r>
          </w:p>
        </w:tc>
        <w:tc>
          <w:tcPr>
            <w:tcW w:w="1331" w:type="dxa"/>
            <w:tcBorders>
              <w:top w:val="single" w:sz="4" w:space="0" w:color="auto"/>
              <w:left w:val="single" w:sz="4" w:space="0" w:color="auto"/>
              <w:bottom w:val="single" w:sz="4" w:space="0" w:color="auto"/>
              <w:right w:val="single" w:sz="4" w:space="0" w:color="auto"/>
            </w:tcBorders>
            <w:vAlign w:val="center"/>
          </w:tcPr>
          <w:p w:rsidR="002C1559" w:rsidRPr="00A47EA4" w:rsidRDefault="002C1559" w:rsidP="00A1749B">
            <w:pPr>
              <w:jc w:val="center"/>
              <w:rPr>
                <w:sz w:val="20"/>
                <w:szCs w:val="20"/>
                <w:lang w:val="sr-Cyrl-RS"/>
              </w:rPr>
            </w:pPr>
            <w:r w:rsidRPr="00A47EA4">
              <w:rPr>
                <w:sz w:val="20"/>
                <w:szCs w:val="20"/>
              </w:rPr>
              <w:t>7.3</w:t>
            </w:r>
            <w:r w:rsidR="00A1749B" w:rsidRPr="00A47EA4">
              <w:rPr>
                <w:sz w:val="20"/>
                <w:szCs w:val="20"/>
                <w:lang w:val="sr-Cyrl-RS"/>
              </w:rPr>
              <w:t>13</w:t>
            </w:r>
            <w:r w:rsidRPr="00A47EA4">
              <w:rPr>
                <w:sz w:val="20"/>
                <w:szCs w:val="20"/>
              </w:rPr>
              <w:t>.</w:t>
            </w:r>
            <w:r w:rsidR="00A1749B" w:rsidRPr="00A47EA4">
              <w:rPr>
                <w:sz w:val="20"/>
                <w:szCs w:val="20"/>
                <w:lang w:val="sr-Cyrl-RS"/>
              </w:rPr>
              <w:t>503</w:t>
            </w:r>
          </w:p>
        </w:tc>
        <w:tc>
          <w:tcPr>
            <w:tcW w:w="637" w:type="dxa"/>
            <w:tcBorders>
              <w:top w:val="single" w:sz="4" w:space="0" w:color="auto"/>
              <w:left w:val="single" w:sz="4" w:space="0" w:color="auto"/>
              <w:bottom w:val="single" w:sz="4" w:space="0" w:color="auto"/>
              <w:right w:val="single" w:sz="18" w:space="0" w:color="auto"/>
            </w:tcBorders>
            <w:vAlign w:val="center"/>
          </w:tcPr>
          <w:p w:rsidR="002C1559" w:rsidRPr="00A47EA4" w:rsidRDefault="002C1559" w:rsidP="00A8404D">
            <w:pPr>
              <w:jc w:val="center"/>
              <w:rPr>
                <w:rFonts w:ascii="Calibri" w:hAnsi="Calibri" w:cs="Calibri"/>
                <w:sz w:val="20"/>
                <w:szCs w:val="20"/>
              </w:rPr>
            </w:pPr>
            <w:r w:rsidRPr="00A47EA4">
              <w:rPr>
                <w:rFonts w:ascii="Calibri" w:hAnsi="Calibri" w:cs="Calibri"/>
                <w:sz w:val="20"/>
                <w:szCs w:val="20"/>
              </w:rPr>
              <w:t>5</w:t>
            </w:r>
          </w:p>
        </w:tc>
      </w:tr>
      <w:tr w:rsidR="002C1559" w:rsidTr="00A8404D">
        <w:tblPrEx>
          <w:tblLook w:val="04A0" w:firstRow="1" w:lastRow="0" w:firstColumn="1" w:lastColumn="0" w:noHBand="0" w:noVBand="1"/>
        </w:tblPrEx>
        <w:trPr>
          <w:jc w:val="center"/>
        </w:trPr>
        <w:tc>
          <w:tcPr>
            <w:tcW w:w="2136" w:type="dxa"/>
            <w:tcBorders>
              <w:top w:val="single" w:sz="4" w:space="0" w:color="auto"/>
              <w:left w:val="single" w:sz="18" w:space="0" w:color="auto"/>
              <w:bottom w:val="single" w:sz="4" w:space="0" w:color="auto"/>
              <w:right w:val="single" w:sz="18" w:space="0" w:color="auto"/>
            </w:tcBorders>
            <w:vAlign w:val="center"/>
            <w:hideMark/>
          </w:tcPr>
          <w:p w:rsidR="002C1559" w:rsidRPr="00066BD4" w:rsidRDefault="002C1559" w:rsidP="00A8404D">
            <w:pPr>
              <w:jc w:val="center"/>
              <w:rPr>
                <w:rFonts w:ascii="Times New Roman" w:hAnsi="Times New Roman" w:cs="Times New Roman"/>
                <w:b/>
                <w:sz w:val="20"/>
                <w:szCs w:val="20"/>
              </w:rPr>
            </w:pPr>
            <w:r>
              <w:rPr>
                <w:rFonts w:ascii="Times New Roman" w:hAnsi="Times New Roman" w:cs="Times New Roman"/>
                <w:b/>
                <w:sz w:val="20"/>
                <w:szCs w:val="20"/>
              </w:rPr>
              <w:t>Државна јавна предузећа/привредна друштва</w:t>
            </w:r>
          </w:p>
        </w:tc>
        <w:tc>
          <w:tcPr>
            <w:tcW w:w="923" w:type="dxa"/>
            <w:tcBorders>
              <w:top w:val="single" w:sz="4" w:space="0" w:color="auto"/>
              <w:left w:val="single" w:sz="18" w:space="0" w:color="auto"/>
              <w:bottom w:val="single" w:sz="4" w:space="0" w:color="auto"/>
              <w:right w:val="single" w:sz="4" w:space="0" w:color="auto"/>
            </w:tcBorders>
            <w:vAlign w:val="center"/>
          </w:tcPr>
          <w:p w:rsidR="002C1559" w:rsidRPr="008A275E" w:rsidRDefault="002C1559" w:rsidP="00A8404D">
            <w:pPr>
              <w:jc w:val="center"/>
              <w:rPr>
                <w:rFonts w:ascii="Times New Roman" w:hAnsi="Times New Roman" w:cs="Times New Roman"/>
                <w:sz w:val="20"/>
                <w:szCs w:val="20"/>
              </w:rPr>
            </w:pPr>
            <w:r>
              <w:rPr>
                <w:rFonts w:ascii="Times New Roman" w:hAnsi="Times New Roman" w:cs="Times New Roman"/>
                <w:sz w:val="20"/>
                <w:szCs w:val="20"/>
              </w:rPr>
              <w:t>6.450</w:t>
            </w:r>
          </w:p>
        </w:tc>
        <w:tc>
          <w:tcPr>
            <w:tcW w:w="543" w:type="dxa"/>
            <w:tcBorders>
              <w:top w:val="single" w:sz="4" w:space="0" w:color="auto"/>
              <w:left w:val="single" w:sz="4" w:space="0" w:color="auto"/>
              <w:bottom w:val="single" w:sz="4" w:space="0" w:color="auto"/>
              <w:right w:val="single" w:sz="4" w:space="0" w:color="auto"/>
            </w:tcBorders>
            <w:vAlign w:val="center"/>
          </w:tcPr>
          <w:p w:rsidR="002C1559" w:rsidRPr="0036162D" w:rsidRDefault="002C1559" w:rsidP="00A8404D">
            <w:pPr>
              <w:jc w:val="center"/>
              <w:rPr>
                <w:rFonts w:ascii="Times New Roman" w:hAnsi="Times New Roman" w:cs="Times New Roman"/>
                <w:color w:val="000000"/>
                <w:sz w:val="20"/>
                <w:szCs w:val="20"/>
              </w:rPr>
            </w:pPr>
            <w:r w:rsidRPr="0036162D">
              <w:rPr>
                <w:rFonts w:ascii="Times New Roman" w:hAnsi="Times New Roman" w:cs="Times New Roman"/>
                <w:color w:val="000000"/>
                <w:sz w:val="20"/>
                <w:szCs w:val="20"/>
              </w:rPr>
              <w:t>15</w:t>
            </w:r>
          </w:p>
        </w:tc>
        <w:tc>
          <w:tcPr>
            <w:tcW w:w="1306" w:type="dxa"/>
            <w:tcBorders>
              <w:top w:val="single" w:sz="4" w:space="0" w:color="auto"/>
              <w:left w:val="single" w:sz="4" w:space="0" w:color="auto"/>
              <w:bottom w:val="single" w:sz="4" w:space="0" w:color="auto"/>
              <w:right w:val="single" w:sz="4" w:space="0" w:color="auto"/>
            </w:tcBorders>
            <w:vAlign w:val="center"/>
          </w:tcPr>
          <w:p w:rsidR="002C1559" w:rsidRPr="0036162D" w:rsidRDefault="002C1559" w:rsidP="00A8404D">
            <w:pPr>
              <w:jc w:val="center"/>
              <w:rPr>
                <w:rFonts w:ascii="Times New Roman" w:hAnsi="Times New Roman" w:cs="Times New Roman"/>
                <w:color w:val="000000"/>
                <w:sz w:val="20"/>
                <w:szCs w:val="20"/>
              </w:rPr>
            </w:pPr>
            <w:r w:rsidRPr="0036162D">
              <w:rPr>
                <w:rFonts w:ascii="Times New Roman" w:hAnsi="Times New Roman" w:cs="Times New Roman"/>
                <w:color w:val="000000"/>
                <w:sz w:val="20"/>
                <w:szCs w:val="20"/>
              </w:rPr>
              <w:t>53.277.021</w:t>
            </w:r>
          </w:p>
        </w:tc>
        <w:tc>
          <w:tcPr>
            <w:tcW w:w="543" w:type="dxa"/>
            <w:tcBorders>
              <w:top w:val="single" w:sz="4" w:space="0" w:color="auto"/>
              <w:left w:val="single" w:sz="4" w:space="0" w:color="auto"/>
              <w:bottom w:val="single" w:sz="4" w:space="0" w:color="auto"/>
              <w:right w:val="single" w:sz="18" w:space="0" w:color="auto"/>
            </w:tcBorders>
            <w:vAlign w:val="center"/>
          </w:tcPr>
          <w:p w:rsidR="002C1559" w:rsidRPr="00571569" w:rsidRDefault="002C1559" w:rsidP="00A8404D">
            <w:pPr>
              <w:jc w:val="center"/>
              <w:rPr>
                <w:rFonts w:ascii="Times New Roman" w:hAnsi="Times New Roman" w:cs="Times New Roman"/>
                <w:color w:val="000000"/>
                <w:sz w:val="20"/>
                <w:szCs w:val="20"/>
              </w:rPr>
            </w:pPr>
            <w:r>
              <w:rPr>
                <w:rFonts w:ascii="Times New Roman" w:hAnsi="Times New Roman" w:cs="Times New Roman"/>
                <w:color w:val="000000"/>
                <w:sz w:val="20"/>
                <w:szCs w:val="20"/>
              </w:rPr>
              <w:t>38</w:t>
            </w:r>
          </w:p>
        </w:tc>
        <w:tc>
          <w:tcPr>
            <w:tcW w:w="923" w:type="dxa"/>
            <w:tcBorders>
              <w:top w:val="single" w:sz="4" w:space="0" w:color="auto"/>
              <w:left w:val="single" w:sz="18" w:space="0" w:color="auto"/>
              <w:bottom w:val="single" w:sz="4" w:space="0" w:color="auto"/>
              <w:right w:val="single" w:sz="4" w:space="0" w:color="auto"/>
            </w:tcBorders>
            <w:vAlign w:val="center"/>
          </w:tcPr>
          <w:p w:rsidR="002C1559" w:rsidRPr="00646515" w:rsidRDefault="002C1559" w:rsidP="00A8404D">
            <w:pPr>
              <w:jc w:val="center"/>
              <w:rPr>
                <w:color w:val="000000"/>
                <w:sz w:val="20"/>
                <w:szCs w:val="20"/>
              </w:rPr>
            </w:pPr>
            <w:r w:rsidRPr="00646515">
              <w:rPr>
                <w:color w:val="000000"/>
                <w:sz w:val="20"/>
                <w:szCs w:val="20"/>
              </w:rPr>
              <w:t>6.008</w:t>
            </w:r>
          </w:p>
        </w:tc>
        <w:tc>
          <w:tcPr>
            <w:tcW w:w="551" w:type="dxa"/>
            <w:tcBorders>
              <w:top w:val="single" w:sz="4" w:space="0" w:color="auto"/>
              <w:left w:val="single" w:sz="4" w:space="0" w:color="auto"/>
              <w:bottom w:val="single" w:sz="4" w:space="0" w:color="auto"/>
              <w:right w:val="single" w:sz="4" w:space="0" w:color="auto"/>
            </w:tcBorders>
            <w:vAlign w:val="center"/>
          </w:tcPr>
          <w:p w:rsidR="002C1559" w:rsidRPr="00646515" w:rsidRDefault="002C1559" w:rsidP="00A8404D">
            <w:pPr>
              <w:jc w:val="center"/>
              <w:rPr>
                <w:rFonts w:ascii="Calibri" w:hAnsi="Calibri" w:cs="Calibri"/>
                <w:color w:val="000000"/>
                <w:sz w:val="20"/>
                <w:szCs w:val="20"/>
              </w:rPr>
            </w:pPr>
            <w:r w:rsidRPr="00646515">
              <w:rPr>
                <w:rFonts w:ascii="Calibri" w:hAnsi="Calibri" w:cs="Calibri"/>
                <w:color w:val="000000"/>
                <w:sz w:val="20"/>
                <w:szCs w:val="20"/>
              </w:rPr>
              <w:t>14</w:t>
            </w:r>
          </w:p>
        </w:tc>
        <w:tc>
          <w:tcPr>
            <w:tcW w:w="1331" w:type="dxa"/>
            <w:tcBorders>
              <w:top w:val="single" w:sz="4" w:space="0" w:color="auto"/>
              <w:left w:val="single" w:sz="4" w:space="0" w:color="auto"/>
              <w:bottom w:val="single" w:sz="4" w:space="0" w:color="auto"/>
              <w:right w:val="single" w:sz="4" w:space="0" w:color="auto"/>
            </w:tcBorders>
            <w:vAlign w:val="center"/>
          </w:tcPr>
          <w:p w:rsidR="002C1559" w:rsidRPr="00A47EA4" w:rsidRDefault="002C1559" w:rsidP="00A8404D">
            <w:pPr>
              <w:jc w:val="center"/>
              <w:rPr>
                <w:sz w:val="20"/>
                <w:szCs w:val="20"/>
              </w:rPr>
            </w:pPr>
            <w:r w:rsidRPr="00A47EA4">
              <w:rPr>
                <w:sz w:val="20"/>
                <w:szCs w:val="20"/>
              </w:rPr>
              <w:t>51.282.251</w:t>
            </w:r>
          </w:p>
        </w:tc>
        <w:tc>
          <w:tcPr>
            <w:tcW w:w="637" w:type="dxa"/>
            <w:tcBorders>
              <w:top w:val="single" w:sz="4" w:space="0" w:color="auto"/>
              <w:left w:val="single" w:sz="4" w:space="0" w:color="auto"/>
              <w:bottom w:val="single" w:sz="4" w:space="0" w:color="auto"/>
              <w:right w:val="single" w:sz="18" w:space="0" w:color="auto"/>
            </w:tcBorders>
            <w:vAlign w:val="center"/>
          </w:tcPr>
          <w:p w:rsidR="002C1559" w:rsidRPr="00A47EA4" w:rsidRDefault="00481B19" w:rsidP="00A8404D">
            <w:pPr>
              <w:jc w:val="center"/>
              <w:rPr>
                <w:rFonts w:ascii="Calibri" w:hAnsi="Calibri" w:cs="Calibri"/>
                <w:sz w:val="20"/>
                <w:szCs w:val="20"/>
                <w:lang w:val="sr-Cyrl-RS"/>
              </w:rPr>
            </w:pPr>
            <w:r w:rsidRPr="00A47EA4">
              <w:rPr>
                <w:rFonts w:ascii="Calibri" w:hAnsi="Calibri" w:cs="Calibri"/>
                <w:sz w:val="20"/>
                <w:szCs w:val="20"/>
                <w:lang w:val="sr-Cyrl-RS"/>
              </w:rPr>
              <w:t>35</w:t>
            </w:r>
          </w:p>
        </w:tc>
      </w:tr>
      <w:tr w:rsidR="002C1559" w:rsidTr="00A8404D">
        <w:tblPrEx>
          <w:tblLook w:val="04A0" w:firstRow="1" w:lastRow="0" w:firstColumn="1" w:lastColumn="0" w:noHBand="0" w:noVBand="1"/>
        </w:tblPrEx>
        <w:trPr>
          <w:jc w:val="center"/>
        </w:trPr>
        <w:tc>
          <w:tcPr>
            <w:tcW w:w="2136" w:type="dxa"/>
            <w:tcBorders>
              <w:top w:val="single" w:sz="4" w:space="0" w:color="auto"/>
              <w:left w:val="single" w:sz="18" w:space="0" w:color="auto"/>
              <w:bottom w:val="single" w:sz="4" w:space="0" w:color="auto"/>
              <w:right w:val="single" w:sz="18" w:space="0" w:color="auto"/>
            </w:tcBorders>
            <w:vAlign w:val="center"/>
            <w:hideMark/>
          </w:tcPr>
          <w:p w:rsidR="002C1559" w:rsidRDefault="002C1559" w:rsidP="00A8404D">
            <w:pPr>
              <w:jc w:val="center"/>
              <w:rPr>
                <w:rFonts w:ascii="Times New Roman" w:hAnsi="Times New Roman" w:cs="Times New Roman"/>
                <w:b/>
                <w:sz w:val="20"/>
                <w:szCs w:val="20"/>
              </w:rPr>
            </w:pPr>
            <w:r>
              <w:rPr>
                <w:rFonts w:ascii="Times New Roman" w:hAnsi="Times New Roman" w:cs="Times New Roman"/>
                <w:b/>
                <w:sz w:val="20"/>
                <w:szCs w:val="20"/>
              </w:rPr>
              <w:t>Јавна предузећа-локална самоуправа</w:t>
            </w:r>
          </w:p>
        </w:tc>
        <w:tc>
          <w:tcPr>
            <w:tcW w:w="923" w:type="dxa"/>
            <w:tcBorders>
              <w:top w:val="single" w:sz="4" w:space="0" w:color="auto"/>
              <w:left w:val="single" w:sz="18" w:space="0" w:color="auto"/>
              <w:bottom w:val="single" w:sz="4" w:space="0" w:color="auto"/>
              <w:right w:val="single" w:sz="4" w:space="0" w:color="auto"/>
            </w:tcBorders>
            <w:vAlign w:val="center"/>
          </w:tcPr>
          <w:p w:rsidR="002C1559" w:rsidRPr="008A275E" w:rsidRDefault="002C1559" w:rsidP="00A8404D">
            <w:pPr>
              <w:jc w:val="center"/>
              <w:rPr>
                <w:rFonts w:ascii="Times New Roman" w:hAnsi="Times New Roman" w:cs="Times New Roman"/>
                <w:sz w:val="20"/>
                <w:szCs w:val="20"/>
              </w:rPr>
            </w:pPr>
            <w:r>
              <w:rPr>
                <w:rFonts w:ascii="Times New Roman" w:hAnsi="Times New Roman" w:cs="Times New Roman"/>
                <w:sz w:val="20"/>
                <w:szCs w:val="20"/>
              </w:rPr>
              <w:t>7.607</w:t>
            </w:r>
          </w:p>
        </w:tc>
        <w:tc>
          <w:tcPr>
            <w:tcW w:w="543" w:type="dxa"/>
            <w:tcBorders>
              <w:top w:val="single" w:sz="4" w:space="0" w:color="auto"/>
              <w:left w:val="single" w:sz="4" w:space="0" w:color="auto"/>
              <w:bottom w:val="single" w:sz="4" w:space="0" w:color="auto"/>
              <w:right w:val="single" w:sz="4" w:space="0" w:color="auto"/>
            </w:tcBorders>
            <w:vAlign w:val="center"/>
          </w:tcPr>
          <w:p w:rsidR="002C1559" w:rsidRPr="0036162D" w:rsidRDefault="002C1559" w:rsidP="00A8404D">
            <w:pPr>
              <w:jc w:val="center"/>
              <w:rPr>
                <w:rFonts w:ascii="Times New Roman" w:hAnsi="Times New Roman" w:cs="Times New Roman"/>
                <w:color w:val="000000"/>
                <w:sz w:val="20"/>
                <w:szCs w:val="20"/>
              </w:rPr>
            </w:pPr>
            <w:r w:rsidRPr="0036162D">
              <w:rPr>
                <w:rFonts w:ascii="Times New Roman" w:hAnsi="Times New Roman" w:cs="Times New Roman"/>
                <w:color w:val="000000"/>
                <w:sz w:val="20"/>
                <w:szCs w:val="20"/>
              </w:rPr>
              <w:t>17</w:t>
            </w:r>
          </w:p>
        </w:tc>
        <w:tc>
          <w:tcPr>
            <w:tcW w:w="1306" w:type="dxa"/>
            <w:tcBorders>
              <w:top w:val="single" w:sz="4" w:space="0" w:color="auto"/>
              <w:left w:val="single" w:sz="4" w:space="0" w:color="auto"/>
              <w:bottom w:val="single" w:sz="4" w:space="0" w:color="auto"/>
              <w:right w:val="single" w:sz="4" w:space="0" w:color="auto"/>
            </w:tcBorders>
            <w:vAlign w:val="center"/>
          </w:tcPr>
          <w:p w:rsidR="002C1559" w:rsidRPr="0036162D" w:rsidRDefault="002C1559" w:rsidP="00A8404D">
            <w:pPr>
              <w:jc w:val="center"/>
              <w:rPr>
                <w:rFonts w:ascii="Times New Roman" w:hAnsi="Times New Roman" w:cs="Times New Roman"/>
                <w:color w:val="000000"/>
                <w:sz w:val="20"/>
                <w:szCs w:val="20"/>
              </w:rPr>
            </w:pPr>
            <w:r w:rsidRPr="0036162D">
              <w:rPr>
                <w:rFonts w:ascii="Times New Roman" w:hAnsi="Times New Roman" w:cs="Times New Roman"/>
                <w:color w:val="000000"/>
                <w:sz w:val="20"/>
                <w:szCs w:val="20"/>
              </w:rPr>
              <w:t>22.495.407</w:t>
            </w:r>
          </w:p>
        </w:tc>
        <w:tc>
          <w:tcPr>
            <w:tcW w:w="543" w:type="dxa"/>
            <w:tcBorders>
              <w:top w:val="single" w:sz="4" w:space="0" w:color="auto"/>
              <w:left w:val="single" w:sz="4" w:space="0" w:color="auto"/>
              <w:bottom w:val="single" w:sz="4" w:space="0" w:color="auto"/>
              <w:right w:val="single" w:sz="18" w:space="0" w:color="auto"/>
            </w:tcBorders>
            <w:vAlign w:val="center"/>
          </w:tcPr>
          <w:p w:rsidR="002C1559" w:rsidRPr="00571569" w:rsidRDefault="002C1559" w:rsidP="00A8404D">
            <w:pPr>
              <w:jc w:val="center"/>
              <w:rPr>
                <w:rFonts w:ascii="Times New Roman" w:hAnsi="Times New Roman" w:cs="Times New Roman"/>
                <w:color w:val="000000"/>
                <w:sz w:val="20"/>
                <w:szCs w:val="20"/>
              </w:rPr>
            </w:pPr>
            <w:r>
              <w:rPr>
                <w:rFonts w:ascii="Times New Roman" w:hAnsi="Times New Roman" w:cs="Times New Roman"/>
                <w:color w:val="000000"/>
                <w:sz w:val="20"/>
                <w:szCs w:val="20"/>
              </w:rPr>
              <w:t>16</w:t>
            </w:r>
          </w:p>
        </w:tc>
        <w:tc>
          <w:tcPr>
            <w:tcW w:w="923" w:type="dxa"/>
            <w:tcBorders>
              <w:top w:val="single" w:sz="4" w:space="0" w:color="auto"/>
              <w:left w:val="single" w:sz="18" w:space="0" w:color="auto"/>
              <w:bottom w:val="single" w:sz="4" w:space="0" w:color="auto"/>
              <w:right w:val="single" w:sz="4" w:space="0" w:color="auto"/>
            </w:tcBorders>
            <w:vAlign w:val="center"/>
          </w:tcPr>
          <w:p w:rsidR="002C1559" w:rsidRPr="00646515" w:rsidRDefault="002C1559" w:rsidP="00A8404D">
            <w:pPr>
              <w:jc w:val="center"/>
              <w:rPr>
                <w:color w:val="000000"/>
                <w:sz w:val="20"/>
                <w:szCs w:val="20"/>
              </w:rPr>
            </w:pPr>
            <w:r w:rsidRPr="00646515">
              <w:rPr>
                <w:color w:val="000000"/>
                <w:sz w:val="20"/>
                <w:szCs w:val="20"/>
              </w:rPr>
              <w:t>6.724</w:t>
            </w:r>
          </w:p>
        </w:tc>
        <w:tc>
          <w:tcPr>
            <w:tcW w:w="551" w:type="dxa"/>
            <w:tcBorders>
              <w:top w:val="single" w:sz="4" w:space="0" w:color="auto"/>
              <w:left w:val="single" w:sz="4" w:space="0" w:color="auto"/>
              <w:bottom w:val="single" w:sz="4" w:space="0" w:color="auto"/>
              <w:right w:val="single" w:sz="4" w:space="0" w:color="auto"/>
            </w:tcBorders>
            <w:vAlign w:val="center"/>
          </w:tcPr>
          <w:p w:rsidR="002C1559" w:rsidRPr="00646515" w:rsidRDefault="002C1559" w:rsidP="00A8404D">
            <w:pPr>
              <w:jc w:val="center"/>
              <w:rPr>
                <w:rFonts w:ascii="Calibri" w:hAnsi="Calibri" w:cs="Calibri"/>
                <w:color w:val="000000"/>
                <w:sz w:val="20"/>
                <w:szCs w:val="20"/>
              </w:rPr>
            </w:pPr>
            <w:r w:rsidRPr="00646515">
              <w:rPr>
                <w:rFonts w:ascii="Calibri" w:hAnsi="Calibri" w:cs="Calibri"/>
                <w:color w:val="000000"/>
                <w:sz w:val="20"/>
                <w:szCs w:val="20"/>
              </w:rPr>
              <w:t>16</w:t>
            </w:r>
          </w:p>
        </w:tc>
        <w:tc>
          <w:tcPr>
            <w:tcW w:w="1331" w:type="dxa"/>
            <w:tcBorders>
              <w:top w:val="single" w:sz="4" w:space="0" w:color="auto"/>
              <w:left w:val="single" w:sz="4" w:space="0" w:color="auto"/>
              <w:bottom w:val="single" w:sz="4" w:space="0" w:color="auto"/>
              <w:right w:val="single" w:sz="4" w:space="0" w:color="auto"/>
            </w:tcBorders>
            <w:vAlign w:val="center"/>
          </w:tcPr>
          <w:p w:rsidR="002C1559" w:rsidRPr="00A47EA4" w:rsidRDefault="002C1559" w:rsidP="00A1749B">
            <w:pPr>
              <w:jc w:val="center"/>
              <w:rPr>
                <w:sz w:val="20"/>
                <w:szCs w:val="20"/>
                <w:lang w:val="sr-Cyrl-RS"/>
              </w:rPr>
            </w:pPr>
            <w:r w:rsidRPr="00A47EA4">
              <w:rPr>
                <w:sz w:val="20"/>
                <w:szCs w:val="20"/>
              </w:rPr>
              <w:t>21.</w:t>
            </w:r>
            <w:r w:rsidR="00A1749B" w:rsidRPr="00A47EA4">
              <w:rPr>
                <w:sz w:val="20"/>
                <w:szCs w:val="20"/>
                <w:lang w:val="sr-Cyrl-RS"/>
              </w:rPr>
              <w:t>148</w:t>
            </w:r>
            <w:r w:rsidRPr="00A47EA4">
              <w:rPr>
                <w:sz w:val="20"/>
                <w:szCs w:val="20"/>
              </w:rPr>
              <w:t>.</w:t>
            </w:r>
            <w:r w:rsidR="00A1749B" w:rsidRPr="00A47EA4">
              <w:rPr>
                <w:sz w:val="20"/>
                <w:szCs w:val="20"/>
                <w:lang w:val="sr-Cyrl-RS"/>
              </w:rPr>
              <w:t>816</w:t>
            </w:r>
          </w:p>
        </w:tc>
        <w:tc>
          <w:tcPr>
            <w:tcW w:w="637" w:type="dxa"/>
            <w:tcBorders>
              <w:top w:val="single" w:sz="4" w:space="0" w:color="auto"/>
              <w:left w:val="single" w:sz="4" w:space="0" w:color="auto"/>
              <w:bottom w:val="single" w:sz="4" w:space="0" w:color="auto"/>
              <w:right w:val="single" w:sz="18" w:space="0" w:color="auto"/>
            </w:tcBorders>
            <w:vAlign w:val="center"/>
          </w:tcPr>
          <w:p w:rsidR="002C1559" w:rsidRPr="00A47EA4" w:rsidRDefault="002C1559" w:rsidP="00A8404D">
            <w:pPr>
              <w:jc w:val="center"/>
              <w:rPr>
                <w:rFonts w:ascii="Calibri" w:hAnsi="Calibri" w:cs="Calibri"/>
                <w:sz w:val="20"/>
                <w:szCs w:val="20"/>
              </w:rPr>
            </w:pPr>
            <w:r w:rsidRPr="00A47EA4">
              <w:rPr>
                <w:rFonts w:ascii="Calibri" w:hAnsi="Calibri" w:cs="Calibri"/>
                <w:sz w:val="20"/>
                <w:szCs w:val="20"/>
              </w:rPr>
              <w:t>14</w:t>
            </w:r>
          </w:p>
        </w:tc>
      </w:tr>
      <w:tr w:rsidR="002C1559" w:rsidTr="00A8404D">
        <w:tblPrEx>
          <w:tblLook w:val="04A0" w:firstRow="1" w:lastRow="0" w:firstColumn="1" w:lastColumn="0" w:noHBand="0" w:noVBand="1"/>
        </w:tblPrEx>
        <w:trPr>
          <w:jc w:val="center"/>
        </w:trPr>
        <w:tc>
          <w:tcPr>
            <w:tcW w:w="2136" w:type="dxa"/>
            <w:tcBorders>
              <w:top w:val="single" w:sz="4" w:space="0" w:color="auto"/>
              <w:left w:val="single" w:sz="18" w:space="0" w:color="auto"/>
              <w:bottom w:val="single" w:sz="8" w:space="0" w:color="auto"/>
              <w:right w:val="single" w:sz="18" w:space="0" w:color="auto"/>
            </w:tcBorders>
            <w:vAlign w:val="center"/>
            <w:hideMark/>
          </w:tcPr>
          <w:p w:rsidR="002C1559" w:rsidRDefault="002C1559" w:rsidP="00A8404D">
            <w:pPr>
              <w:jc w:val="center"/>
              <w:rPr>
                <w:rFonts w:ascii="Times New Roman" w:hAnsi="Times New Roman" w:cs="Times New Roman"/>
                <w:b/>
                <w:sz w:val="20"/>
                <w:szCs w:val="20"/>
              </w:rPr>
            </w:pPr>
            <w:r>
              <w:rPr>
                <w:rFonts w:ascii="Times New Roman" w:hAnsi="Times New Roman" w:cs="Times New Roman"/>
                <w:b/>
                <w:sz w:val="20"/>
                <w:szCs w:val="20"/>
              </w:rPr>
              <w:t>Градска и општинска управа</w:t>
            </w:r>
          </w:p>
        </w:tc>
        <w:tc>
          <w:tcPr>
            <w:tcW w:w="923" w:type="dxa"/>
            <w:tcBorders>
              <w:top w:val="single" w:sz="4" w:space="0" w:color="auto"/>
              <w:left w:val="single" w:sz="18" w:space="0" w:color="auto"/>
              <w:bottom w:val="single" w:sz="8" w:space="0" w:color="auto"/>
              <w:right w:val="single" w:sz="4" w:space="0" w:color="auto"/>
            </w:tcBorders>
            <w:vAlign w:val="center"/>
          </w:tcPr>
          <w:p w:rsidR="002C1559" w:rsidRPr="008A275E" w:rsidRDefault="002C1559" w:rsidP="00A8404D">
            <w:pPr>
              <w:jc w:val="center"/>
              <w:rPr>
                <w:rFonts w:ascii="Times New Roman" w:hAnsi="Times New Roman" w:cs="Times New Roman"/>
                <w:sz w:val="20"/>
                <w:szCs w:val="20"/>
              </w:rPr>
            </w:pPr>
            <w:r>
              <w:rPr>
                <w:rFonts w:ascii="Times New Roman" w:hAnsi="Times New Roman" w:cs="Times New Roman"/>
                <w:sz w:val="20"/>
                <w:szCs w:val="20"/>
              </w:rPr>
              <w:t>3.291</w:t>
            </w:r>
          </w:p>
        </w:tc>
        <w:tc>
          <w:tcPr>
            <w:tcW w:w="543" w:type="dxa"/>
            <w:tcBorders>
              <w:top w:val="single" w:sz="4" w:space="0" w:color="auto"/>
              <w:left w:val="single" w:sz="4" w:space="0" w:color="auto"/>
              <w:bottom w:val="single" w:sz="8" w:space="0" w:color="auto"/>
              <w:right w:val="single" w:sz="4" w:space="0" w:color="auto"/>
            </w:tcBorders>
            <w:vAlign w:val="center"/>
          </w:tcPr>
          <w:p w:rsidR="002C1559" w:rsidRPr="0036162D" w:rsidRDefault="002C1559" w:rsidP="00A8404D">
            <w:pPr>
              <w:jc w:val="center"/>
              <w:rPr>
                <w:rFonts w:ascii="Times New Roman" w:hAnsi="Times New Roman" w:cs="Times New Roman"/>
                <w:color w:val="000000"/>
                <w:sz w:val="20"/>
                <w:szCs w:val="20"/>
              </w:rPr>
            </w:pPr>
            <w:r w:rsidRPr="0036162D">
              <w:rPr>
                <w:rFonts w:ascii="Times New Roman" w:hAnsi="Times New Roman" w:cs="Times New Roman"/>
                <w:color w:val="000000"/>
                <w:sz w:val="20"/>
                <w:szCs w:val="20"/>
              </w:rPr>
              <w:t>7</w:t>
            </w:r>
          </w:p>
        </w:tc>
        <w:tc>
          <w:tcPr>
            <w:tcW w:w="1306" w:type="dxa"/>
            <w:tcBorders>
              <w:top w:val="single" w:sz="4" w:space="0" w:color="auto"/>
              <w:left w:val="single" w:sz="4" w:space="0" w:color="auto"/>
              <w:bottom w:val="single" w:sz="8" w:space="0" w:color="auto"/>
              <w:right w:val="single" w:sz="4" w:space="0" w:color="auto"/>
            </w:tcBorders>
            <w:vAlign w:val="center"/>
          </w:tcPr>
          <w:p w:rsidR="002C1559" w:rsidRPr="0036162D" w:rsidRDefault="002C1559" w:rsidP="00A8404D">
            <w:pPr>
              <w:jc w:val="center"/>
              <w:rPr>
                <w:rFonts w:ascii="Times New Roman" w:hAnsi="Times New Roman" w:cs="Times New Roman"/>
                <w:color w:val="000000"/>
                <w:sz w:val="20"/>
                <w:szCs w:val="20"/>
              </w:rPr>
            </w:pPr>
            <w:r w:rsidRPr="0036162D">
              <w:rPr>
                <w:rFonts w:ascii="Times New Roman" w:hAnsi="Times New Roman" w:cs="Times New Roman"/>
                <w:color w:val="000000"/>
                <w:sz w:val="20"/>
                <w:szCs w:val="20"/>
              </w:rPr>
              <w:t>11.459.601</w:t>
            </w:r>
          </w:p>
        </w:tc>
        <w:tc>
          <w:tcPr>
            <w:tcW w:w="543" w:type="dxa"/>
            <w:tcBorders>
              <w:top w:val="single" w:sz="4" w:space="0" w:color="auto"/>
              <w:left w:val="single" w:sz="4" w:space="0" w:color="auto"/>
              <w:bottom w:val="single" w:sz="8" w:space="0" w:color="auto"/>
              <w:right w:val="single" w:sz="18" w:space="0" w:color="auto"/>
            </w:tcBorders>
            <w:vAlign w:val="center"/>
          </w:tcPr>
          <w:p w:rsidR="002C1559" w:rsidRPr="00571569" w:rsidRDefault="002C1559" w:rsidP="00A8404D">
            <w:pPr>
              <w:jc w:val="center"/>
              <w:rPr>
                <w:rFonts w:ascii="Times New Roman" w:hAnsi="Times New Roman" w:cs="Times New Roman"/>
                <w:color w:val="000000"/>
                <w:sz w:val="20"/>
                <w:szCs w:val="20"/>
              </w:rPr>
            </w:pPr>
            <w:r>
              <w:rPr>
                <w:rFonts w:ascii="Times New Roman" w:hAnsi="Times New Roman" w:cs="Times New Roman"/>
                <w:color w:val="000000"/>
                <w:sz w:val="20"/>
                <w:szCs w:val="20"/>
              </w:rPr>
              <w:t>8</w:t>
            </w:r>
          </w:p>
        </w:tc>
        <w:tc>
          <w:tcPr>
            <w:tcW w:w="923" w:type="dxa"/>
            <w:tcBorders>
              <w:top w:val="single" w:sz="4" w:space="0" w:color="auto"/>
              <w:left w:val="single" w:sz="18" w:space="0" w:color="auto"/>
              <w:bottom w:val="single" w:sz="8" w:space="0" w:color="auto"/>
              <w:right w:val="single" w:sz="4" w:space="0" w:color="auto"/>
            </w:tcBorders>
            <w:vAlign w:val="center"/>
          </w:tcPr>
          <w:p w:rsidR="002C1559" w:rsidRPr="00646515" w:rsidRDefault="002C1559" w:rsidP="00A8404D">
            <w:pPr>
              <w:jc w:val="center"/>
              <w:rPr>
                <w:color w:val="000000"/>
                <w:sz w:val="20"/>
                <w:szCs w:val="20"/>
              </w:rPr>
            </w:pPr>
            <w:r w:rsidRPr="00646515">
              <w:rPr>
                <w:color w:val="000000"/>
                <w:sz w:val="20"/>
                <w:szCs w:val="20"/>
              </w:rPr>
              <w:t>2.653</w:t>
            </w:r>
          </w:p>
        </w:tc>
        <w:tc>
          <w:tcPr>
            <w:tcW w:w="551" w:type="dxa"/>
            <w:tcBorders>
              <w:top w:val="single" w:sz="4" w:space="0" w:color="auto"/>
              <w:left w:val="single" w:sz="4" w:space="0" w:color="auto"/>
              <w:bottom w:val="single" w:sz="8" w:space="0" w:color="auto"/>
              <w:right w:val="single" w:sz="4" w:space="0" w:color="auto"/>
            </w:tcBorders>
            <w:vAlign w:val="center"/>
          </w:tcPr>
          <w:p w:rsidR="002C1559" w:rsidRPr="00646515" w:rsidRDefault="002C1559" w:rsidP="00A8404D">
            <w:pPr>
              <w:jc w:val="center"/>
              <w:rPr>
                <w:rFonts w:ascii="Calibri" w:hAnsi="Calibri" w:cs="Calibri"/>
                <w:color w:val="000000"/>
                <w:sz w:val="20"/>
                <w:szCs w:val="20"/>
              </w:rPr>
            </w:pPr>
            <w:r w:rsidRPr="00646515">
              <w:rPr>
                <w:rFonts w:ascii="Calibri" w:hAnsi="Calibri" w:cs="Calibri"/>
                <w:color w:val="000000"/>
                <w:sz w:val="20"/>
                <w:szCs w:val="20"/>
              </w:rPr>
              <w:t>6</w:t>
            </w:r>
          </w:p>
        </w:tc>
        <w:tc>
          <w:tcPr>
            <w:tcW w:w="1331" w:type="dxa"/>
            <w:tcBorders>
              <w:top w:val="single" w:sz="4" w:space="0" w:color="auto"/>
              <w:left w:val="single" w:sz="4" w:space="0" w:color="auto"/>
              <w:bottom w:val="single" w:sz="8" w:space="0" w:color="auto"/>
              <w:right w:val="single" w:sz="4" w:space="0" w:color="auto"/>
            </w:tcBorders>
            <w:vAlign w:val="center"/>
          </w:tcPr>
          <w:p w:rsidR="002C1559" w:rsidRPr="00A47EA4" w:rsidRDefault="002C1559" w:rsidP="00A8404D">
            <w:pPr>
              <w:jc w:val="center"/>
              <w:rPr>
                <w:sz w:val="20"/>
                <w:szCs w:val="20"/>
              </w:rPr>
            </w:pPr>
            <w:r w:rsidRPr="00A47EA4">
              <w:rPr>
                <w:sz w:val="20"/>
                <w:szCs w:val="20"/>
              </w:rPr>
              <w:t>5.724.792</w:t>
            </w:r>
          </w:p>
        </w:tc>
        <w:tc>
          <w:tcPr>
            <w:tcW w:w="637" w:type="dxa"/>
            <w:tcBorders>
              <w:top w:val="single" w:sz="4" w:space="0" w:color="auto"/>
              <w:left w:val="single" w:sz="4" w:space="0" w:color="auto"/>
              <w:bottom w:val="single" w:sz="8" w:space="0" w:color="auto"/>
              <w:right w:val="single" w:sz="18" w:space="0" w:color="auto"/>
            </w:tcBorders>
            <w:vAlign w:val="center"/>
          </w:tcPr>
          <w:p w:rsidR="002C1559" w:rsidRPr="00A47EA4" w:rsidRDefault="002C1559" w:rsidP="00A8404D">
            <w:pPr>
              <w:jc w:val="center"/>
              <w:rPr>
                <w:rFonts w:ascii="Calibri" w:hAnsi="Calibri" w:cs="Calibri"/>
                <w:sz w:val="20"/>
                <w:szCs w:val="20"/>
              </w:rPr>
            </w:pPr>
            <w:r w:rsidRPr="00A47EA4">
              <w:rPr>
                <w:rFonts w:ascii="Calibri" w:hAnsi="Calibri" w:cs="Calibri"/>
                <w:sz w:val="20"/>
                <w:szCs w:val="20"/>
              </w:rPr>
              <w:t>4</w:t>
            </w:r>
          </w:p>
        </w:tc>
      </w:tr>
      <w:tr w:rsidR="002C1559" w:rsidTr="00A8404D">
        <w:tblPrEx>
          <w:tblLook w:val="04A0" w:firstRow="1" w:lastRow="0" w:firstColumn="1" w:lastColumn="0" w:noHBand="0" w:noVBand="1"/>
        </w:tblPrEx>
        <w:trPr>
          <w:jc w:val="center"/>
        </w:trPr>
        <w:tc>
          <w:tcPr>
            <w:tcW w:w="2136" w:type="dxa"/>
            <w:tcBorders>
              <w:top w:val="single" w:sz="8" w:space="0" w:color="auto"/>
              <w:left w:val="single" w:sz="18" w:space="0" w:color="auto"/>
              <w:bottom w:val="single" w:sz="8" w:space="0" w:color="auto"/>
              <w:right w:val="single" w:sz="18" w:space="0" w:color="auto"/>
            </w:tcBorders>
            <w:vAlign w:val="center"/>
          </w:tcPr>
          <w:p w:rsidR="002C1559" w:rsidRPr="00066BD4" w:rsidRDefault="002C1559" w:rsidP="00A8404D">
            <w:pPr>
              <w:jc w:val="center"/>
              <w:rPr>
                <w:rFonts w:ascii="Times New Roman" w:hAnsi="Times New Roman" w:cs="Times New Roman"/>
                <w:b/>
                <w:sz w:val="20"/>
                <w:szCs w:val="20"/>
              </w:rPr>
            </w:pPr>
            <w:r>
              <w:rPr>
                <w:rFonts w:ascii="Times New Roman" w:hAnsi="Times New Roman" w:cs="Times New Roman"/>
                <w:b/>
                <w:sz w:val="20"/>
                <w:szCs w:val="20"/>
              </w:rPr>
              <w:t>Удружења</w:t>
            </w:r>
          </w:p>
        </w:tc>
        <w:tc>
          <w:tcPr>
            <w:tcW w:w="923" w:type="dxa"/>
            <w:tcBorders>
              <w:top w:val="single" w:sz="8" w:space="0" w:color="auto"/>
              <w:left w:val="single" w:sz="18" w:space="0" w:color="auto"/>
              <w:bottom w:val="single" w:sz="8" w:space="0" w:color="auto"/>
              <w:right w:val="single" w:sz="8" w:space="0" w:color="auto"/>
            </w:tcBorders>
            <w:vAlign w:val="center"/>
          </w:tcPr>
          <w:p w:rsidR="002C1559" w:rsidRPr="00066BD4" w:rsidRDefault="002C1559" w:rsidP="00A8404D">
            <w:pPr>
              <w:jc w:val="center"/>
              <w:rPr>
                <w:rFonts w:ascii="Calibri" w:hAnsi="Calibri" w:cs="Calibri"/>
                <w:color w:val="000000"/>
              </w:rPr>
            </w:pPr>
            <w:r>
              <w:rPr>
                <w:rFonts w:ascii="Calibri" w:hAnsi="Calibri" w:cs="Calibri"/>
                <w:color w:val="000000"/>
              </w:rPr>
              <w:t>/</w:t>
            </w:r>
          </w:p>
        </w:tc>
        <w:tc>
          <w:tcPr>
            <w:tcW w:w="543" w:type="dxa"/>
            <w:tcBorders>
              <w:top w:val="single" w:sz="8" w:space="0" w:color="auto"/>
              <w:left w:val="single" w:sz="8" w:space="0" w:color="auto"/>
              <w:bottom w:val="single" w:sz="8" w:space="0" w:color="auto"/>
              <w:right w:val="single" w:sz="8" w:space="0" w:color="auto"/>
            </w:tcBorders>
            <w:vAlign w:val="center"/>
          </w:tcPr>
          <w:p w:rsidR="002C1559" w:rsidRPr="00066BD4" w:rsidRDefault="002C1559" w:rsidP="00A8404D">
            <w:pPr>
              <w:jc w:val="center"/>
              <w:rPr>
                <w:rFonts w:ascii="Calibri" w:hAnsi="Calibri" w:cs="Calibri"/>
                <w:color w:val="000000"/>
              </w:rPr>
            </w:pPr>
            <w:r>
              <w:rPr>
                <w:rFonts w:ascii="Calibri" w:hAnsi="Calibri" w:cs="Calibri"/>
                <w:color w:val="000000"/>
              </w:rPr>
              <w:t>/</w:t>
            </w:r>
          </w:p>
        </w:tc>
        <w:tc>
          <w:tcPr>
            <w:tcW w:w="1306" w:type="dxa"/>
            <w:tcBorders>
              <w:top w:val="single" w:sz="8" w:space="0" w:color="auto"/>
              <w:left w:val="single" w:sz="8" w:space="0" w:color="auto"/>
              <w:bottom w:val="single" w:sz="8" w:space="0" w:color="auto"/>
              <w:right w:val="single" w:sz="8" w:space="0" w:color="auto"/>
            </w:tcBorders>
            <w:vAlign w:val="center"/>
          </w:tcPr>
          <w:p w:rsidR="002C1559" w:rsidRPr="00066BD4" w:rsidRDefault="002C1559" w:rsidP="00A8404D">
            <w:pPr>
              <w:jc w:val="center"/>
              <w:rPr>
                <w:rFonts w:ascii="Calibri" w:hAnsi="Calibri" w:cs="Calibri"/>
                <w:color w:val="000000"/>
              </w:rPr>
            </w:pPr>
            <w:r>
              <w:rPr>
                <w:rFonts w:ascii="Calibri" w:hAnsi="Calibri" w:cs="Calibri"/>
                <w:color w:val="000000"/>
              </w:rPr>
              <w:t>/</w:t>
            </w:r>
          </w:p>
        </w:tc>
        <w:tc>
          <w:tcPr>
            <w:tcW w:w="543" w:type="dxa"/>
            <w:tcBorders>
              <w:top w:val="single" w:sz="8" w:space="0" w:color="auto"/>
              <w:left w:val="single" w:sz="8" w:space="0" w:color="auto"/>
              <w:bottom w:val="single" w:sz="8" w:space="0" w:color="auto"/>
              <w:right w:val="single" w:sz="18" w:space="0" w:color="auto"/>
            </w:tcBorders>
            <w:vAlign w:val="center"/>
          </w:tcPr>
          <w:p w:rsidR="002C1559" w:rsidRPr="00066BD4" w:rsidRDefault="002C1559" w:rsidP="00A8404D">
            <w:pPr>
              <w:jc w:val="center"/>
              <w:rPr>
                <w:rFonts w:ascii="Calibri" w:hAnsi="Calibri" w:cs="Calibri"/>
                <w:color w:val="000000"/>
              </w:rPr>
            </w:pPr>
            <w:r>
              <w:rPr>
                <w:rFonts w:ascii="Calibri" w:hAnsi="Calibri" w:cs="Calibri"/>
                <w:color w:val="000000"/>
              </w:rPr>
              <w:t>/</w:t>
            </w:r>
          </w:p>
        </w:tc>
        <w:tc>
          <w:tcPr>
            <w:tcW w:w="923" w:type="dxa"/>
            <w:tcBorders>
              <w:top w:val="single" w:sz="8" w:space="0" w:color="auto"/>
              <w:left w:val="single" w:sz="18" w:space="0" w:color="auto"/>
              <w:bottom w:val="single" w:sz="8" w:space="0" w:color="auto"/>
              <w:right w:val="single" w:sz="8" w:space="0" w:color="auto"/>
            </w:tcBorders>
            <w:vAlign w:val="center"/>
          </w:tcPr>
          <w:p w:rsidR="002C1559" w:rsidRPr="00646515" w:rsidRDefault="002C1559" w:rsidP="00A8404D">
            <w:pPr>
              <w:jc w:val="center"/>
              <w:rPr>
                <w:color w:val="000000"/>
                <w:sz w:val="20"/>
                <w:szCs w:val="20"/>
              </w:rPr>
            </w:pPr>
            <w:r w:rsidRPr="00646515">
              <w:rPr>
                <w:color w:val="000000"/>
                <w:sz w:val="20"/>
                <w:szCs w:val="20"/>
              </w:rPr>
              <w:t>271</w:t>
            </w:r>
          </w:p>
        </w:tc>
        <w:tc>
          <w:tcPr>
            <w:tcW w:w="551" w:type="dxa"/>
            <w:tcBorders>
              <w:top w:val="single" w:sz="8" w:space="0" w:color="auto"/>
              <w:left w:val="single" w:sz="8" w:space="0" w:color="auto"/>
              <w:bottom w:val="single" w:sz="8" w:space="0" w:color="auto"/>
              <w:right w:val="single" w:sz="8" w:space="0" w:color="auto"/>
            </w:tcBorders>
            <w:vAlign w:val="center"/>
          </w:tcPr>
          <w:p w:rsidR="002C1559" w:rsidRPr="00646515" w:rsidRDefault="002C1559" w:rsidP="00A8404D">
            <w:pPr>
              <w:jc w:val="center"/>
              <w:rPr>
                <w:rFonts w:ascii="Calibri" w:hAnsi="Calibri" w:cs="Calibri"/>
                <w:color w:val="000000"/>
                <w:sz w:val="20"/>
                <w:szCs w:val="20"/>
              </w:rPr>
            </w:pPr>
            <w:r w:rsidRPr="00646515">
              <w:rPr>
                <w:rFonts w:ascii="Calibri" w:hAnsi="Calibri" w:cs="Calibri"/>
                <w:color w:val="000000"/>
                <w:sz w:val="20"/>
                <w:szCs w:val="20"/>
              </w:rPr>
              <w:t>1</w:t>
            </w:r>
          </w:p>
        </w:tc>
        <w:tc>
          <w:tcPr>
            <w:tcW w:w="1331" w:type="dxa"/>
            <w:tcBorders>
              <w:top w:val="single" w:sz="8" w:space="0" w:color="auto"/>
              <w:left w:val="single" w:sz="8" w:space="0" w:color="auto"/>
              <w:bottom w:val="single" w:sz="8" w:space="0" w:color="auto"/>
              <w:right w:val="single" w:sz="8" w:space="0" w:color="auto"/>
            </w:tcBorders>
            <w:vAlign w:val="center"/>
          </w:tcPr>
          <w:p w:rsidR="002C1559" w:rsidRPr="00A47EA4" w:rsidRDefault="002C1559" w:rsidP="00A8404D">
            <w:pPr>
              <w:jc w:val="center"/>
              <w:rPr>
                <w:sz w:val="20"/>
                <w:szCs w:val="20"/>
              </w:rPr>
            </w:pPr>
            <w:r w:rsidRPr="00A47EA4">
              <w:rPr>
                <w:sz w:val="20"/>
                <w:szCs w:val="20"/>
              </w:rPr>
              <w:t>715.085</w:t>
            </w:r>
          </w:p>
        </w:tc>
        <w:tc>
          <w:tcPr>
            <w:tcW w:w="637" w:type="dxa"/>
            <w:tcBorders>
              <w:top w:val="single" w:sz="8" w:space="0" w:color="auto"/>
              <w:left w:val="single" w:sz="8" w:space="0" w:color="auto"/>
              <w:bottom w:val="single" w:sz="8" w:space="0" w:color="auto"/>
              <w:right w:val="single" w:sz="18" w:space="0" w:color="auto"/>
            </w:tcBorders>
            <w:vAlign w:val="center"/>
          </w:tcPr>
          <w:p w:rsidR="002C1559" w:rsidRPr="00646515" w:rsidRDefault="002C1559" w:rsidP="00A8404D">
            <w:pPr>
              <w:jc w:val="center"/>
              <w:rPr>
                <w:rFonts w:ascii="Calibri" w:hAnsi="Calibri" w:cs="Calibri"/>
                <w:color w:val="000000"/>
                <w:sz w:val="20"/>
                <w:szCs w:val="20"/>
              </w:rPr>
            </w:pPr>
            <w:r w:rsidRPr="00646515">
              <w:rPr>
                <w:rFonts w:ascii="Calibri" w:hAnsi="Calibri" w:cs="Calibri"/>
                <w:color w:val="000000"/>
                <w:sz w:val="20"/>
                <w:szCs w:val="20"/>
              </w:rPr>
              <w:t>0</w:t>
            </w:r>
          </w:p>
        </w:tc>
      </w:tr>
      <w:tr w:rsidR="002C1559" w:rsidTr="00A8404D">
        <w:tblPrEx>
          <w:tblLook w:val="04A0" w:firstRow="1" w:lastRow="0" w:firstColumn="1" w:lastColumn="0" w:noHBand="0" w:noVBand="1"/>
        </w:tblPrEx>
        <w:trPr>
          <w:jc w:val="center"/>
        </w:trPr>
        <w:tc>
          <w:tcPr>
            <w:tcW w:w="2136" w:type="dxa"/>
            <w:tcBorders>
              <w:top w:val="single" w:sz="8" w:space="0" w:color="auto"/>
              <w:left w:val="single" w:sz="18" w:space="0" w:color="auto"/>
              <w:bottom w:val="single" w:sz="18" w:space="0" w:color="auto"/>
              <w:right w:val="single" w:sz="18" w:space="0" w:color="auto"/>
            </w:tcBorders>
            <w:vAlign w:val="center"/>
          </w:tcPr>
          <w:p w:rsidR="002C1559" w:rsidRPr="00066BD4" w:rsidRDefault="002C1559" w:rsidP="00A8404D">
            <w:pPr>
              <w:jc w:val="center"/>
              <w:rPr>
                <w:rFonts w:ascii="Times New Roman" w:hAnsi="Times New Roman" w:cs="Times New Roman"/>
                <w:b/>
                <w:sz w:val="20"/>
                <w:szCs w:val="20"/>
              </w:rPr>
            </w:pPr>
            <w:r>
              <w:rPr>
                <w:rFonts w:ascii="Times New Roman" w:hAnsi="Times New Roman" w:cs="Times New Roman"/>
                <w:b/>
                <w:sz w:val="20"/>
                <w:szCs w:val="20"/>
              </w:rPr>
              <w:t>Фондације и задужбине</w:t>
            </w:r>
          </w:p>
        </w:tc>
        <w:tc>
          <w:tcPr>
            <w:tcW w:w="923" w:type="dxa"/>
            <w:tcBorders>
              <w:top w:val="single" w:sz="8" w:space="0" w:color="auto"/>
              <w:left w:val="single" w:sz="18" w:space="0" w:color="auto"/>
              <w:bottom w:val="single" w:sz="18" w:space="0" w:color="auto"/>
              <w:right w:val="single" w:sz="8" w:space="0" w:color="auto"/>
            </w:tcBorders>
            <w:vAlign w:val="center"/>
          </w:tcPr>
          <w:p w:rsidR="002C1559" w:rsidRPr="00066BD4" w:rsidRDefault="002C1559" w:rsidP="00A8404D">
            <w:pPr>
              <w:jc w:val="center"/>
              <w:rPr>
                <w:rFonts w:ascii="Calibri" w:hAnsi="Calibri" w:cs="Calibri"/>
                <w:color w:val="000000"/>
              </w:rPr>
            </w:pPr>
            <w:r>
              <w:rPr>
                <w:rFonts w:ascii="Calibri" w:hAnsi="Calibri" w:cs="Calibri"/>
                <w:color w:val="000000"/>
              </w:rPr>
              <w:t>/</w:t>
            </w:r>
          </w:p>
        </w:tc>
        <w:tc>
          <w:tcPr>
            <w:tcW w:w="543" w:type="dxa"/>
            <w:tcBorders>
              <w:top w:val="single" w:sz="8" w:space="0" w:color="auto"/>
              <w:left w:val="single" w:sz="8" w:space="0" w:color="auto"/>
              <w:bottom w:val="single" w:sz="18" w:space="0" w:color="auto"/>
              <w:right w:val="single" w:sz="8" w:space="0" w:color="auto"/>
            </w:tcBorders>
            <w:vAlign w:val="center"/>
          </w:tcPr>
          <w:p w:rsidR="002C1559" w:rsidRPr="00066BD4" w:rsidRDefault="002C1559" w:rsidP="00A8404D">
            <w:pPr>
              <w:jc w:val="center"/>
              <w:rPr>
                <w:rFonts w:ascii="Calibri" w:hAnsi="Calibri" w:cs="Calibri"/>
                <w:color w:val="000000"/>
              </w:rPr>
            </w:pPr>
            <w:r>
              <w:rPr>
                <w:rFonts w:ascii="Calibri" w:hAnsi="Calibri" w:cs="Calibri"/>
                <w:color w:val="000000"/>
              </w:rPr>
              <w:t>/</w:t>
            </w:r>
          </w:p>
        </w:tc>
        <w:tc>
          <w:tcPr>
            <w:tcW w:w="1306" w:type="dxa"/>
            <w:tcBorders>
              <w:top w:val="single" w:sz="8" w:space="0" w:color="auto"/>
              <w:left w:val="single" w:sz="8" w:space="0" w:color="auto"/>
              <w:bottom w:val="single" w:sz="18" w:space="0" w:color="auto"/>
              <w:right w:val="single" w:sz="8" w:space="0" w:color="auto"/>
            </w:tcBorders>
            <w:vAlign w:val="center"/>
          </w:tcPr>
          <w:p w:rsidR="002C1559" w:rsidRPr="00066BD4" w:rsidRDefault="002C1559" w:rsidP="00A8404D">
            <w:pPr>
              <w:jc w:val="center"/>
              <w:rPr>
                <w:rFonts w:ascii="Calibri" w:hAnsi="Calibri" w:cs="Calibri"/>
                <w:color w:val="000000"/>
              </w:rPr>
            </w:pPr>
            <w:r>
              <w:rPr>
                <w:rFonts w:ascii="Calibri" w:hAnsi="Calibri" w:cs="Calibri"/>
                <w:color w:val="000000"/>
              </w:rPr>
              <w:t>/</w:t>
            </w:r>
          </w:p>
        </w:tc>
        <w:tc>
          <w:tcPr>
            <w:tcW w:w="543" w:type="dxa"/>
            <w:tcBorders>
              <w:top w:val="single" w:sz="8" w:space="0" w:color="auto"/>
              <w:left w:val="single" w:sz="8" w:space="0" w:color="auto"/>
              <w:bottom w:val="single" w:sz="18" w:space="0" w:color="auto"/>
              <w:right w:val="single" w:sz="18" w:space="0" w:color="auto"/>
            </w:tcBorders>
            <w:vAlign w:val="center"/>
          </w:tcPr>
          <w:p w:rsidR="002C1559" w:rsidRPr="00066BD4" w:rsidRDefault="002C1559" w:rsidP="00A8404D">
            <w:pPr>
              <w:jc w:val="center"/>
              <w:rPr>
                <w:rFonts w:ascii="Calibri" w:hAnsi="Calibri" w:cs="Calibri"/>
                <w:color w:val="000000"/>
              </w:rPr>
            </w:pPr>
            <w:r>
              <w:rPr>
                <w:rFonts w:ascii="Calibri" w:hAnsi="Calibri" w:cs="Calibri"/>
                <w:color w:val="000000"/>
              </w:rPr>
              <w:t>/</w:t>
            </w:r>
          </w:p>
        </w:tc>
        <w:tc>
          <w:tcPr>
            <w:tcW w:w="923" w:type="dxa"/>
            <w:tcBorders>
              <w:top w:val="single" w:sz="8" w:space="0" w:color="auto"/>
              <w:left w:val="single" w:sz="18" w:space="0" w:color="auto"/>
              <w:bottom w:val="single" w:sz="18" w:space="0" w:color="auto"/>
              <w:right w:val="single" w:sz="8" w:space="0" w:color="auto"/>
            </w:tcBorders>
            <w:vAlign w:val="center"/>
          </w:tcPr>
          <w:p w:rsidR="002C1559" w:rsidRPr="00646515" w:rsidRDefault="002C1559" w:rsidP="00A8404D">
            <w:pPr>
              <w:jc w:val="center"/>
              <w:rPr>
                <w:color w:val="000000"/>
                <w:sz w:val="20"/>
                <w:szCs w:val="20"/>
              </w:rPr>
            </w:pPr>
            <w:r w:rsidRPr="00646515">
              <w:rPr>
                <w:color w:val="000000"/>
                <w:sz w:val="20"/>
                <w:szCs w:val="20"/>
              </w:rPr>
              <w:t>14</w:t>
            </w:r>
          </w:p>
        </w:tc>
        <w:tc>
          <w:tcPr>
            <w:tcW w:w="551" w:type="dxa"/>
            <w:tcBorders>
              <w:top w:val="single" w:sz="8" w:space="0" w:color="auto"/>
              <w:left w:val="single" w:sz="8" w:space="0" w:color="auto"/>
              <w:bottom w:val="single" w:sz="18" w:space="0" w:color="auto"/>
              <w:right w:val="single" w:sz="8" w:space="0" w:color="auto"/>
            </w:tcBorders>
            <w:vAlign w:val="center"/>
          </w:tcPr>
          <w:p w:rsidR="002C1559" w:rsidRPr="00646515" w:rsidRDefault="002C1559" w:rsidP="00A8404D">
            <w:pPr>
              <w:jc w:val="center"/>
              <w:rPr>
                <w:rFonts w:ascii="Calibri" w:hAnsi="Calibri" w:cs="Calibri"/>
                <w:color w:val="000000"/>
                <w:sz w:val="20"/>
                <w:szCs w:val="20"/>
              </w:rPr>
            </w:pPr>
            <w:r w:rsidRPr="00646515">
              <w:rPr>
                <w:rFonts w:ascii="Calibri" w:hAnsi="Calibri" w:cs="Calibri"/>
                <w:color w:val="000000"/>
                <w:sz w:val="20"/>
                <w:szCs w:val="20"/>
              </w:rPr>
              <w:t>0</w:t>
            </w:r>
          </w:p>
        </w:tc>
        <w:tc>
          <w:tcPr>
            <w:tcW w:w="1331" w:type="dxa"/>
            <w:tcBorders>
              <w:top w:val="single" w:sz="8" w:space="0" w:color="auto"/>
              <w:left w:val="single" w:sz="8" w:space="0" w:color="auto"/>
              <w:bottom w:val="single" w:sz="18" w:space="0" w:color="auto"/>
              <w:right w:val="single" w:sz="8" w:space="0" w:color="auto"/>
            </w:tcBorders>
            <w:vAlign w:val="center"/>
          </w:tcPr>
          <w:p w:rsidR="002C1559" w:rsidRPr="00A47EA4" w:rsidRDefault="002C1559" w:rsidP="00A8404D">
            <w:pPr>
              <w:jc w:val="center"/>
              <w:rPr>
                <w:sz w:val="20"/>
                <w:szCs w:val="20"/>
              </w:rPr>
            </w:pPr>
            <w:r w:rsidRPr="00A47EA4">
              <w:rPr>
                <w:sz w:val="20"/>
                <w:szCs w:val="20"/>
              </w:rPr>
              <w:t>1.820</w:t>
            </w:r>
          </w:p>
        </w:tc>
        <w:tc>
          <w:tcPr>
            <w:tcW w:w="637" w:type="dxa"/>
            <w:tcBorders>
              <w:top w:val="single" w:sz="8" w:space="0" w:color="auto"/>
              <w:left w:val="single" w:sz="8" w:space="0" w:color="auto"/>
              <w:bottom w:val="single" w:sz="18" w:space="0" w:color="auto"/>
              <w:right w:val="single" w:sz="18" w:space="0" w:color="auto"/>
            </w:tcBorders>
            <w:vAlign w:val="center"/>
          </w:tcPr>
          <w:p w:rsidR="002C1559" w:rsidRPr="00646515" w:rsidRDefault="002C1559" w:rsidP="00A8404D">
            <w:pPr>
              <w:jc w:val="center"/>
              <w:rPr>
                <w:rFonts w:ascii="Calibri" w:hAnsi="Calibri" w:cs="Calibri"/>
                <w:color w:val="000000"/>
                <w:sz w:val="20"/>
                <w:szCs w:val="20"/>
              </w:rPr>
            </w:pPr>
            <w:r w:rsidRPr="00646515">
              <w:rPr>
                <w:rFonts w:ascii="Calibri" w:hAnsi="Calibri" w:cs="Calibri"/>
                <w:color w:val="000000"/>
                <w:sz w:val="20"/>
                <w:szCs w:val="20"/>
              </w:rPr>
              <w:t>0</w:t>
            </w:r>
          </w:p>
        </w:tc>
      </w:tr>
      <w:tr w:rsidR="002C1559" w:rsidTr="00A8404D">
        <w:tblPrEx>
          <w:tblLook w:val="04A0" w:firstRow="1" w:lastRow="0" w:firstColumn="1" w:lastColumn="0" w:noHBand="0" w:noVBand="1"/>
        </w:tblPrEx>
        <w:trPr>
          <w:jc w:val="center"/>
        </w:trPr>
        <w:tc>
          <w:tcPr>
            <w:tcW w:w="2136" w:type="dxa"/>
            <w:tcBorders>
              <w:top w:val="single" w:sz="18" w:space="0" w:color="auto"/>
              <w:left w:val="single" w:sz="18" w:space="0" w:color="auto"/>
              <w:bottom w:val="single" w:sz="18" w:space="0" w:color="auto"/>
              <w:right w:val="single" w:sz="18" w:space="0" w:color="auto"/>
            </w:tcBorders>
            <w:vAlign w:val="center"/>
            <w:hideMark/>
          </w:tcPr>
          <w:p w:rsidR="002C1559" w:rsidRDefault="002C1559" w:rsidP="00A8404D">
            <w:pPr>
              <w:jc w:val="center"/>
              <w:rPr>
                <w:rFonts w:ascii="Times New Roman" w:hAnsi="Times New Roman" w:cs="Times New Roman"/>
                <w:b/>
                <w:sz w:val="20"/>
                <w:szCs w:val="20"/>
              </w:rPr>
            </w:pPr>
            <w:r>
              <w:rPr>
                <w:rFonts w:ascii="Times New Roman" w:hAnsi="Times New Roman" w:cs="Times New Roman"/>
                <w:b/>
                <w:sz w:val="20"/>
                <w:szCs w:val="20"/>
              </w:rPr>
              <w:t>Укупно</w:t>
            </w:r>
          </w:p>
        </w:tc>
        <w:tc>
          <w:tcPr>
            <w:tcW w:w="923" w:type="dxa"/>
            <w:tcBorders>
              <w:top w:val="single" w:sz="18" w:space="0" w:color="auto"/>
              <w:left w:val="single" w:sz="18" w:space="0" w:color="auto"/>
              <w:bottom w:val="single" w:sz="18" w:space="0" w:color="auto"/>
              <w:right w:val="single" w:sz="4" w:space="0" w:color="auto"/>
            </w:tcBorders>
            <w:vAlign w:val="center"/>
          </w:tcPr>
          <w:p w:rsidR="002C1559" w:rsidRPr="006647A7" w:rsidRDefault="002C1559" w:rsidP="00A8404D">
            <w:pPr>
              <w:jc w:val="center"/>
              <w:rPr>
                <w:rFonts w:ascii="Times New Roman" w:hAnsi="Times New Roman" w:cs="Times New Roman"/>
                <w:b/>
                <w:sz w:val="20"/>
                <w:szCs w:val="20"/>
              </w:rPr>
            </w:pPr>
            <w:r w:rsidRPr="006647A7">
              <w:rPr>
                <w:rFonts w:ascii="Times New Roman" w:hAnsi="Times New Roman" w:cs="Times New Roman"/>
                <w:b/>
                <w:sz w:val="20"/>
                <w:szCs w:val="20"/>
              </w:rPr>
              <w:t>45.131</w:t>
            </w:r>
          </w:p>
        </w:tc>
        <w:tc>
          <w:tcPr>
            <w:tcW w:w="543" w:type="dxa"/>
            <w:tcBorders>
              <w:top w:val="single" w:sz="18" w:space="0" w:color="auto"/>
              <w:left w:val="single" w:sz="4" w:space="0" w:color="auto"/>
              <w:bottom w:val="single" w:sz="18" w:space="0" w:color="auto"/>
              <w:right w:val="single" w:sz="4" w:space="0" w:color="auto"/>
            </w:tcBorders>
            <w:vAlign w:val="center"/>
          </w:tcPr>
          <w:p w:rsidR="002C1559" w:rsidRPr="006647A7" w:rsidRDefault="002C1559" w:rsidP="00A8404D">
            <w:pPr>
              <w:jc w:val="center"/>
              <w:rPr>
                <w:rFonts w:ascii="Times New Roman" w:hAnsi="Times New Roman" w:cs="Times New Roman"/>
                <w:b/>
                <w:color w:val="000000"/>
                <w:sz w:val="20"/>
                <w:szCs w:val="20"/>
              </w:rPr>
            </w:pPr>
            <w:r w:rsidRPr="006647A7">
              <w:rPr>
                <w:rFonts w:ascii="Times New Roman" w:hAnsi="Times New Roman" w:cs="Times New Roman"/>
                <w:b/>
                <w:color w:val="000000"/>
                <w:sz w:val="20"/>
                <w:szCs w:val="20"/>
              </w:rPr>
              <w:t>100</w:t>
            </w:r>
          </w:p>
        </w:tc>
        <w:tc>
          <w:tcPr>
            <w:tcW w:w="1306" w:type="dxa"/>
            <w:tcBorders>
              <w:top w:val="single" w:sz="18" w:space="0" w:color="auto"/>
              <w:left w:val="single" w:sz="4" w:space="0" w:color="auto"/>
              <w:bottom w:val="single" w:sz="18" w:space="0" w:color="auto"/>
              <w:right w:val="single" w:sz="4" w:space="0" w:color="auto"/>
            </w:tcBorders>
            <w:vAlign w:val="center"/>
          </w:tcPr>
          <w:p w:rsidR="002C1559" w:rsidRPr="006647A7" w:rsidRDefault="002C1559" w:rsidP="00A8404D">
            <w:pPr>
              <w:jc w:val="center"/>
              <w:rPr>
                <w:rFonts w:ascii="Times New Roman" w:hAnsi="Times New Roman" w:cs="Times New Roman"/>
                <w:b/>
                <w:color w:val="000000"/>
                <w:sz w:val="20"/>
                <w:szCs w:val="20"/>
              </w:rPr>
            </w:pPr>
            <w:r w:rsidRPr="006647A7">
              <w:rPr>
                <w:rFonts w:ascii="Times New Roman" w:hAnsi="Times New Roman" w:cs="Times New Roman"/>
                <w:b/>
                <w:color w:val="000000"/>
                <w:sz w:val="20"/>
                <w:szCs w:val="20"/>
              </w:rPr>
              <w:t>139.612.655</w:t>
            </w:r>
          </w:p>
        </w:tc>
        <w:tc>
          <w:tcPr>
            <w:tcW w:w="543" w:type="dxa"/>
            <w:tcBorders>
              <w:top w:val="single" w:sz="18" w:space="0" w:color="auto"/>
              <w:left w:val="single" w:sz="4" w:space="0" w:color="auto"/>
              <w:bottom w:val="single" w:sz="18" w:space="0" w:color="auto"/>
              <w:right w:val="single" w:sz="18" w:space="0" w:color="auto"/>
            </w:tcBorders>
            <w:vAlign w:val="center"/>
          </w:tcPr>
          <w:p w:rsidR="002C1559" w:rsidRPr="006647A7" w:rsidRDefault="002C1559" w:rsidP="00A8404D">
            <w:pPr>
              <w:jc w:val="center"/>
              <w:rPr>
                <w:rFonts w:ascii="Times New Roman" w:hAnsi="Times New Roman" w:cs="Times New Roman"/>
                <w:b/>
                <w:color w:val="000000"/>
                <w:sz w:val="20"/>
                <w:szCs w:val="20"/>
              </w:rPr>
            </w:pPr>
            <w:r w:rsidRPr="006647A7">
              <w:rPr>
                <w:rFonts w:ascii="Times New Roman" w:hAnsi="Times New Roman" w:cs="Times New Roman"/>
                <w:b/>
                <w:color w:val="000000"/>
                <w:sz w:val="20"/>
                <w:szCs w:val="20"/>
              </w:rPr>
              <w:t>100</w:t>
            </w:r>
          </w:p>
        </w:tc>
        <w:tc>
          <w:tcPr>
            <w:tcW w:w="923" w:type="dxa"/>
            <w:tcBorders>
              <w:top w:val="single" w:sz="18" w:space="0" w:color="auto"/>
              <w:left w:val="single" w:sz="18" w:space="0" w:color="auto"/>
              <w:bottom w:val="single" w:sz="18" w:space="0" w:color="auto"/>
              <w:right w:val="single" w:sz="4" w:space="0" w:color="auto"/>
            </w:tcBorders>
            <w:vAlign w:val="center"/>
          </w:tcPr>
          <w:p w:rsidR="002C1559" w:rsidRPr="00646515" w:rsidRDefault="002C1559" w:rsidP="00A8404D">
            <w:pPr>
              <w:jc w:val="center"/>
              <w:rPr>
                <w:b/>
                <w:bCs/>
                <w:color w:val="000000"/>
                <w:sz w:val="20"/>
                <w:szCs w:val="20"/>
              </w:rPr>
            </w:pPr>
            <w:r w:rsidRPr="00646515">
              <w:rPr>
                <w:b/>
                <w:bCs/>
                <w:color w:val="000000"/>
                <w:sz w:val="20"/>
                <w:szCs w:val="20"/>
              </w:rPr>
              <w:t>42.439</w:t>
            </w:r>
          </w:p>
        </w:tc>
        <w:tc>
          <w:tcPr>
            <w:tcW w:w="551" w:type="dxa"/>
            <w:tcBorders>
              <w:top w:val="single" w:sz="18" w:space="0" w:color="auto"/>
              <w:left w:val="single" w:sz="4" w:space="0" w:color="auto"/>
              <w:bottom w:val="single" w:sz="18" w:space="0" w:color="auto"/>
              <w:right w:val="single" w:sz="4" w:space="0" w:color="auto"/>
            </w:tcBorders>
            <w:vAlign w:val="center"/>
          </w:tcPr>
          <w:p w:rsidR="002C1559" w:rsidRPr="00646515" w:rsidRDefault="002C1559" w:rsidP="00A8404D">
            <w:pPr>
              <w:jc w:val="center"/>
              <w:rPr>
                <w:rFonts w:ascii="Calibri" w:hAnsi="Calibri" w:cs="Calibri"/>
                <w:b/>
                <w:color w:val="000000"/>
                <w:sz w:val="20"/>
                <w:szCs w:val="20"/>
              </w:rPr>
            </w:pPr>
            <w:r w:rsidRPr="00646515">
              <w:rPr>
                <w:rFonts w:ascii="Calibri" w:hAnsi="Calibri" w:cs="Calibri"/>
                <w:b/>
                <w:color w:val="000000"/>
                <w:sz w:val="20"/>
                <w:szCs w:val="20"/>
              </w:rPr>
              <w:t>100</w:t>
            </w:r>
          </w:p>
        </w:tc>
        <w:tc>
          <w:tcPr>
            <w:tcW w:w="1331" w:type="dxa"/>
            <w:tcBorders>
              <w:top w:val="single" w:sz="18" w:space="0" w:color="auto"/>
              <w:left w:val="single" w:sz="4" w:space="0" w:color="auto"/>
              <w:bottom w:val="single" w:sz="18" w:space="0" w:color="auto"/>
              <w:right w:val="single" w:sz="4" w:space="0" w:color="auto"/>
            </w:tcBorders>
            <w:vAlign w:val="center"/>
          </w:tcPr>
          <w:p w:rsidR="002C1559" w:rsidRPr="00A47EA4" w:rsidRDefault="00A1749B" w:rsidP="00A8404D">
            <w:pPr>
              <w:jc w:val="center"/>
              <w:rPr>
                <w:b/>
                <w:bCs/>
                <w:sz w:val="20"/>
                <w:szCs w:val="20"/>
              </w:rPr>
            </w:pPr>
            <w:r w:rsidRPr="00A47EA4">
              <w:rPr>
                <w:b/>
                <w:bCs/>
                <w:sz w:val="20"/>
                <w:szCs w:val="20"/>
              </w:rPr>
              <w:t>147.591.059</w:t>
            </w:r>
          </w:p>
        </w:tc>
        <w:tc>
          <w:tcPr>
            <w:tcW w:w="637" w:type="dxa"/>
            <w:tcBorders>
              <w:top w:val="single" w:sz="18" w:space="0" w:color="auto"/>
              <w:left w:val="single" w:sz="4" w:space="0" w:color="auto"/>
              <w:bottom w:val="single" w:sz="18" w:space="0" w:color="auto"/>
              <w:right w:val="single" w:sz="18" w:space="0" w:color="auto"/>
            </w:tcBorders>
            <w:vAlign w:val="center"/>
          </w:tcPr>
          <w:p w:rsidR="002C1559" w:rsidRPr="00646515" w:rsidRDefault="002C1559" w:rsidP="00A8404D">
            <w:pPr>
              <w:jc w:val="center"/>
              <w:rPr>
                <w:rFonts w:ascii="Calibri" w:hAnsi="Calibri" w:cs="Calibri"/>
                <w:b/>
                <w:color w:val="000000"/>
                <w:sz w:val="20"/>
                <w:szCs w:val="20"/>
              </w:rPr>
            </w:pPr>
            <w:r w:rsidRPr="00646515">
              <w:rPr>
                <w:rFonts w:ascii="Calibri" w:hAnsi="Calibri" w:cs="Calibri"/>
                <w:b/>
                <w:color w:val="000000"/>
                <w:sz w:val="20"/>
                <w:szCs w:val="20"/>
              </w:rPr>
              <w:t>100</w:t>
            </w:r>
          </w:p>
        </w:tc>
      </w:tr>
    </w:tbl>
    <w:p w:rsidR="008563CB" w:rsidRPr="009D7B1C" w:rsidRDefault="0049562A" w:rsidP="00BE14E5">
      <w:pPr>
        <w:rPr>
          <w:rFonts w:ascii="Times New Roman" w:hAnsi="Times New Roman" w:cs="Times New Roman"/>
        </w:rPr>
      </w:pPr>
      <w:r>
        <w:rPr>
          <w:rFonts w:ascii="Times New Roman" w:hAnsi="Times New Roman" w:cs="Times New Roman"/>
          <w:lang w:val="sr-Cyrl-RS"/>
        </w:rPr>
        <w:t xml:space="preserve">                 </w:t>
      </w:r>
      <w:r w:rsidR="00BE14E5" w:rsidRPr="00BE14E5">
        <w:rPr>
          <w:rFonts w:ascii="Times New Roman" w:hAnsi="Times New Roman" w:cs="Times New Roman"/>
        </w:rPr>
        <w:t>*вредности су изражене у хиљадама динара</w:t>
      </w:r>
    </w:p>
    <w:p w:rsidR="00EE0519" w:rsidRPr="00252D71" w:rsidRDefault="009B3038" w:rsidP="00252D71">
      <w:pPr>
        <w:jc w:val="both"/>
        <w:rPr>
          <w:rFonts w:ascii="Times New Roman" w:hAnsi="Times New Roman" w:cs="Times New Roman"/>
        </w:rPr>
      </w:pPr>
      <w:r>
        <w:rPr>
          <w:rFonts w:ascii="Times New Roman" w:hAnsi="Times New Roman" w:cs="Times New Roman"/>
          <w:sz w:val="24"/>
          <w:szCs w:val="24"/>
        </w:rPr>
        <w:t xml:space="preserve">Сагледавање структуре јавних набавки </w:t>
      </w:r>
      <w:r w:rsidR="00991EB8">
        <w:rPr>
          <w:rFonts w:ascii="Times New Roman" w:hAnsi="Times New Roman" w:cs="Times New Roman"/>
          <w:sz w:val="24"/>
          <w:szCs w:val="24"/>
        </w:rPr>
        <w:t xml:space="preserve">по категоријама наручилаца </w:t>
      </w:r>
      <w:r>
        <w:rPr>
          <w:rFonts w:ascii="Times New Roman" w:hAnsi="Times New Roman" w:cs="Times New Roman"/>
          <w:sz w:val="24"/>
          <w:szCs w:val="24"/>
        </w:rPr>
        <w:t xml:space="preserve">је </w:t>
      </w:r>
      <w:r w:rsidR="00991EB8">
        <w:rPr>
          <w:rFonts w:ascii="Times New Roman" w:hAnsi="Times New Roman" w:cs="Times New Roman"/>
          <w:sz w:val="24"/>
          <w:szCs w:val="24"/>
        </w:rPr>
        <w:t xml:space="preserve">значајно </w:t>
      </w:r>
      <w:r>
        <w:rPr>
          <w:rFonts w:ascii="Times New Roman" w:hAnsi="Times New Roman" w:cs="Times New Roman"/>
          <w:sz w:val="24"/>
          <w:szCs w:val="24"/>
        </w:rPr>
        <w:t xml:space="preserve">јер указује на које </w:t>
      </w:r>
      <w:r w:rsidRPr="006B0D56">
        <w:rPr>
          <w:rFonts w:ascii="Times New Roman" w:hAnsi="Times New Roman" w:cs="Times New Roman"/>
          <w:sz w:val="24"/>
          <w:szCs w:val="24"/>
        </w:rPr>
        <w:t xml:space="preserve">категорије наручилаца треба обратити нарочиту пажњу </w:t>
      </w:r>
      <w:r>
        <w:rPr>
          <w:rFonts w:ascii="Times New Roman" w:hAnsi="Times New Roman" w:cs="Times New Roman"/>
          <w:sz w:val="24"/>
          <w:szCs w:val="24"/>
        </w:rPr>
        <w:t>у анализи</w:t>
      </w:r>
      <w:r w:rsidR="003C21AE">
        <w:rPr>
          <w:rFonts w:ascii="Times New Roman" w:hAnsi="Times New Roman" w:cs="Times New Roman"/>
          <w:sz w:val="24"/>
          <w:szCs w:val="24"/>
        </w:rPr>
        <w:t xml:space="preserve"> и праћењу поступака, </w:t>
      </w:r>
      <w:r w:rsidR="003C21AE" w:rsidRPr="00A47EA4">
        <w:rPr>
          <w:rFonts w:ascii="Times New Roman" w:hAnsi="Times New Roman" w:cs="Times New Roman"/>
          <w:sz w:val="24"/>
          <w:szCs w:val="24"/>
        </w:rPr>
        <w:t xml:space="preserve">а то </w:t>
      </w:r>
      <w:r w:rsidR="00134BC4" w:rsidRPr="00A47EA4">
        <w:rPr>
          <w:rFonts w:ascii="Times New Roman" w:hAnsi="Times New Roman" w:cs="Times New Roman"/>
          <w:sz w:val="24"/>
          <w:szCs w:val="24"/>
          <w:lang w:val="sr-Cyrl-RS"/>
        </w:rPr>
        <w:t>су</w:t>
      </w:r>
      <w:r w:rsidR="003C21AE" w:rsidRPr="00A47EA4">
        <w:rPr>
          <w:rFonts w:ascii="Times New Roman" w:hAnsi="Times New Roman" w:cs="Times New Roman"/>
          <w:sz w:val="24"/>
          <w:szCs w:val="24"/>
        </w:rPr>
        <w:t>, у првом полугодишту 2014. године, бил</w:t>
      </w:r>
      <w:r w:rsidR="00134BC4" w:rsidRPr="00A47EA4">
        <w:rPr>
          <w:rFonts w:ascii="Times New Roman" w:hAnsi="Times New Roman" w:cs="Times New Roman"/>
          <w:sz w:val="24"/>
          <w:szCs w:val="24"/>
          <w:lang w:val="sr-Cyrl-RS"/>
        </w:rPr>
        <w:t>и јавна предузећа и</w:t>
      </w:r>
      <w:r w:rsidR="00134BC4" w:rsidRPr="00A47EA4">
        <w:rPr>
          <w:rFonts w:ascii="Times New Roman" w:hAnsi="Times New Roman" w:cs="Times New Roman"/>
          <w:sz w:val="24"/>
          <w:szCs w:val="24"/>
        </w:rPr>
        <w:t xml:space="preserve"> здравство</w:t>
      </w:r>
      <w:r w:rsidR="00134BC4" w:rsidRPr="00A47EA4">
        <w:rPr>
          <w:rFonts w:ascii="Times New Roman" w:hAnsi="Times New Roman" w:cs="Times New Roman"/>
          <w:sz w:val="24"/>
          <w:szCs w:val="24"/>
          <w:lang w:val="sr-Cyrl-RS"/>
        </w:rPr>
        <w:t xml:space="preserve"> који, заједно посматрано, чине 66% укупне вредности јавних набавки.</w:t>
      </w:r>
      <w:r w:rsidR="003C21AE" w:rsidRPr="00A47EA4">
        <w:rPr>
          <w:rFonts w:ascii="Times New Roman" w:hAnsi="Times New Roman" w:cs="Times New Roman"/>
          <w:sz w:val="24"/>
          <w:szCs w:val="24"/>
        </w:rPr>
        <w:t xml:space="preserve"> </w:t>
      </w:r>
      <w:r w:rsidR="00991EB8" w:rsidRPr="00A47EA4">
        <w:rPr>
          <w:rFonts w:ascii="Times New Roman" w:hAnsi="Times New Roman" w:cs="Times New Roman"/>
          <w:sz w:val="24"/>
          <w:szCs w:val="24"/>
        </w:rPr>
        <w:t xml:space="preserve">Следећи важан корак је </w:t>
      </w:r>
      <w:r w:rsidR="00EE4BFB">
        <w:rPr>
          <w:rFonts w:ascii="Times New Roman" w:hAnsi="Times New Roman" w:cs="Times New Roman"/>
          <w:sz w:val="24"/>
          <w:szCs w:val="24"/>
          <w:lang w:val="sr-Cyrl-RS"/>
        </w:rPr>
        <w:t>да се утврди</w:t>
      </w:r>
      <w:r w:rsidR="00991EB8" w:rsidRPr="00A47EA4">
        <w:rPr>
          <w:rFonts w:ascii="Times New Roman" w:hAnsi="Times New Roman" w:cs="Times New Roman"/>
          <w:sz w:val="24"/>
          <w:szCs w:val="24"/>
        </w:rPr>
        <w:t xml:space="preserve"> </w:t>
      </w:r>
      <w:r w:rsidRPr="00A47EA4">
        <w:rPr>
          <w:rFonts w:ascii="Times New Roman" w:hAnsi="Times New Roman" w:cs="Times New Roman"/>
          <w:sz w:val="24"/>
          <w:szCs w:val="24"/>
        </w:rPr>
        <w:t xml:space="preserve">у којим поступцима </w:t>
      </w:r>
      <w:r w:rsidR="00991EB8" w:rsidRPr="00A47EA4">
        <w:rPr>
          <w:rFonts w:ascii="Times New Roman" w:hAnsi="Times New Roman" w:cs="Times New Roman"/>
          <w:sz w:val="24"/>
          <w:szCs w:val="24"/>
        </w:rPr>
        <w:t xml:space="preserve">су </w:t>
      </w:r>
      <w:r w:rsidRPr="00A47EA4">
        <w:rPr>
          <w:rFonts w:ascii="Times New Roman" w:hAnsi="Times New Roman" w:cs="Times New Roman"/>
          <w:sz w:val="24"/>
          <w:szCs w:val="24"/>
        </w:rPr>
        <w:t>закључ</w:t>
      </w:r>
      <w:r w:rsidR="00991EB8" w:rsidRPr="00A47EA4">
        <w:rPr>
          <w:rFonts w:ascii="Times New Roman" w:hAnsi="Times New Roman" w:cs="Times New Roman"/>
          <w:sz w:val="24"/>
          <w:szCs w:val="24"/>
        </w:rPr>
        <w:t>ивани</w:t>
      </w:r>
      <w:r w:rsidR="00991EB8">
        <w:rPr>
          <w:rFonts w:ascii="Times New Roman" w:hAnsi="Times New Roman" w:cs="Times New Roman"/>
          <w:sz w:val="24"/>
          <w:szCs w:val="24"/>
        </w:rPr>
        <w:t xml:space="preserve"> </w:t>
      </w:r>
      <w:r w:rsidRPr="006B0D56">
        <w:rPr>
          <w:rFonts w:ascii="Times New Roman" w:hAnsi="Times New Roman" w:cs="Times New Roman"/>
          <w:sz w:val="24"/>
          <w:szCs w:val="24"/>
        </w:rPr>
        <w:t>уговор</w:t>
      </w:r>
      <w:r w:rsidR="00991EB8">
        <w:rPr>
          <w:rFonts w:ascii="Times New Roman" w:hAnsi="Times New Roman" w:cs="Times New Roman"/>
          <w:sz w:val="24"/>
          <w:szCs w:val="24"/>
        </w:rPr>
        <w:t>и</w:t>
      </w:r>
      <w:r w:rsidRPr="006B0D56">
        <w:rPr>
          <w:rFonts w:ascii="Times New Roman" w:hAnsi="Times New Roman" w:cs="Times New Roman"/>
          <w:sz w:val="24"/>
          <w:szCs w:val="24"/>
        </w:rPr>
        <w:t xml:space="preserve"> о јавним набавкама. </w:t>
      </w:r>
    </w:p>
    <w:p w:rsidR="009965E9" w:rsidRPr="00D12F10" w:rsidRDefault="009965E9" w:rsidP="00D12F10">
      <w:pPr>
        <w:pStyle w:val="ListParagraph"/>
        <w:numPr>
          <w:ilvl w:val="0"/>
          <w:numId w:val="2"/>
        </w:numPr>
        <w:rPr>
          <w:rFonts w:ascii="Times New Roman" w:hAnsi="Times New Roman" w:cs="Times New Roman"/>
          <w:b/>
          <w:sz w:val="24"/>
          <w:szCs w:val="24"/>
        </w:rPr>
      </w:pPr>
      <w:r w:rsidRPr="00D12F10">
        <w:rPr>
          <w:rFonts w:ascii="Times New Roman" w:hAnsi="Times New Roman" w:cs="Times New Roman"/>
          <w:b/>
          <w:sz w:val="24"/>
          <w:szCs w:val="24"/>
        </w:rPr>
        <w:t>НАБАВКЕ ПО ВРСТАМА ПОСТУПАКА</w:t>
      </w:r>
    </w:p>
    <w:p w:rsidR="00D50094" w:rsidRDefault="00C972BC" w:rsidP="007B4B66">
      <w:pPr>
        <w:jc w:val="both"/>
        <w:rPr>
          <w:rFonts w:ascii="Times New Roman" w:hAnsi="Times New Roman" w:cs="Times New Roman"/>
          <w:sz w:val="24"/>
          <w:szCs w:val="24"/>
        </w:rPr>
      </w:pPr>
      <w:r>
        <w:rPr>
          <w:rFonts w:ascii="Times New Roman" w:hAnsi="Times New Roman" w:cs="Times New Roman"/>
          <w:sz w:val="24"/>
          <w:szCs w:val="24"/>
        </w:rPr>
        <w:t xml:space="preserve">Један од најзначајнијих показатеља функционисања система јавних набавки јесте у којим поступцима </w:t>
      </w:r>
      <w:r w:rsidR="00D50094">
        <w:rPr>
          <w:rFonts w:ascii="Times New Roman" w:hAnsi="Times New Roman" w:cs="Times New Roman"/>
          <w:sz w:val="24"/>
          <w:szCs w:val="24"/>
        </w:rPr>
        <w:t xml:space="preserve">се </w:t>
      </w:r>
      <w:r>
        <w:rPr>
          <w:rFonts w:ascii="Times New Roman" w:hAnsi="Times New Roman" w:cs="Times New Roman"/>
          <w:sz w:val="24"/>
          <w:szCs w:val="24"/>
        </w:rPr>
        <w:t xml:space="preserve">спроводе набавке: да ли преовлађују транспарентни и конкурентни </w:t>
      </w:r>
      <w:r w:rsidR="005440C4">
        <w:rPr>
          <w:rFonts w:ascii="Times New Roman" w:hAnsi="Times New Roman" w:cs="Times New Roman"/>
          <w:sz w:val="24"/>
          <w:szCs w:val="24"/>
        </w:rPr>
        <w:t xml:space="preserve">поступци (отворени и рестриктивни) или нетранспарентни и неконкурентни (преговарачки поступак без објављивања јавног позива). </w:t>
      </w:r>
      <w:r w:rsidR="00964F05">
        <w:rPr>
          <w:rFonts w:ascii="Times New Roman" w:hAnsi="Times New Roman" w:cs="Times New Roman"/>
          <w:sz w:val="24"/>
          <w:szCs w:val="24"/>
        </w:rPr>
        <w:t>Закон</w:t>
      </w:r>
      <w:r w:rsidR="008E5975">
        <w:rPr>
          <w:rFonts w:ascii="Times New Roman" w:hAnsi="Times New Roman" w:cs="Times New Roman"/>
          <w:sz w:val="24"/>
          <w:szCs w:val="24"/>
        </w:rPr>
        <w:t xml:space="preserve"> </w:t>
      </w:r>
      <w:r w:rsidR="00BB0BBE">
        <w:rPr>
          <w:rFonts w:ascii="Times New Roman" w:hAnsi="Times New Roman" w:cs="Times New Roman"/>
          <w:sz w:val="24"/>
          <w:szCs w:val="24"/>
          <w:lang w:val="sr-Cyrl-RS"/>
        </w:rPr>
        <w:t xml:space="preserve">о јавним набавкама </w:t>
      </w:r>
      <w:r w:rsidR="008E5975">
        <w:rPr>
          <w:rFonts w:ascii="Times New Roman" w:hAnsi="Times New Roman" w:cs="Times New Roman"/>
          <w:sz w:val="24"/>
          <w:szCs w:val="24"/>
        </w:rPr>
        <w:t>у члану 10</w:t>
      </w:r>
      <w:r w:rsidR="00A119C7">
        <w:rPr>
          <w:rFonts w:ascii="Times New Roman" w:hAnsi="Times New Roman" w:cs="Times New Roman"/>
          <w:sz w:val="24"/>
          <w:szCs w:val="24"/>
          <w:lang w:val="sr-Cyrl-RS"/>
        </w:rPr>
        <w:t>.</w:t>
      </w:r>
      <w:r w:rsidR="008E5975">
        <w:rPr>
          <w:rFonts w:ascii="Times New Roman" w:hAnsi="Times New Roman" w:cs="Times New Roman"/>
          <w:sz w:val="24"/>
          <w:szCs w:val="24"/>
        </w:rPr>
        <w:t xml:space="preserve"> који је посвећен начелу обезбеђивања конкуренције као једном од кључних начела јавних набавки</w:t>
      </w:r>
      <w:r w:rsidR="00A119C7">
        <w:rPr>
          <w:rFonts w:ascii="Times New Roman" w:hAnsi="Times New Roman" w:cs="Times New Roman"/>
          <w:sz w:val="24"/>
          <w:szCs w:val="24"/>
          <w:lang w:val="sr-Cyrl-RS"/>
        </w:rPr>
        <w:t>,</w:t>
      </w:r>
      <w:r w:rsidR="008E5975">
        <w:rPr>
          <w:rFonts w:ascii="Times New Roman" w:hAnsi="Times New Roman" w:cs="Times New Roman"/>
          <w:sz w:val="24"/>
          <w:szCs w:val="24"/>
        </w:rPr>
        <w:t xml:space="preserve"> изричито прописује да </w:t>
      </w:r>
      <w:r w:rsidR="006322C4">
        <w:rPr>
          <w:rFonts w:ascii="Times New Roman" w:hAnsi="Times New Roman" w:cs="Times New Roman"/>
          <w:sz w:val="24"/>
          <w:szCs w:val="24"/>
        </w:rPr>
        <w:t xml:space="preserve">наручилац не сме да ограничи конкуренцију неоправданом употребом преговарачког поступка. Стога је један од најзначајнијих показатеља примене начела јавних набавки и правилног спровођења </w:t>
      </w:r>
      <w:r w:rsidR="00A119C7">
        <w:rPr>
          <w:rFonts w:ascii="Times New Roman" w:hAnsi="Times New Roman" w:cs="Times New Roman"/>
          <w:sz w:val="24"/>
          <w:szCs w:val="24"/>
          <w:lang w:val="sr-Cyrl-RS"/>
        </w:rPr>
        <w:t>З</w:t>
      </w:r>
      <w:r w:rsidR="00D04601">
        <w:rPr>
          <w:rFonts w:ascii="Times New Roman" w:hAnsi="Times New Roman" w:cs="Times New Roman"/>
          <w:sz w:val="24"/>
          <w:szCs w:val="24"/>
        </w:rPr>
        <w:t xml:space="preserve">акона </w:t>
      </w:r>
      <w:r w:rsidR="006322C4">
        <w:rPr>
          <w:rFonts w:ascii="Times New Roman" w:hAnsi="Times New Roman" w:cs="Times New Roman"/>
          <w:sz w:val="24"/>
          <w:szCs w:val="24"/>
        </w:rPr>
        <w:t>који третира конкурентне поступке као правило</w:t>
      </w:r>
      <w:r w:rsidR="008E5975">
        <w:rPr>
          <w:rFonts w:ascii="Times New Roman" w:hAnsi="Times New Roman" w:cs="Times New Roman"/>
          <w:sz w:val="24"/>
          <w:szCs w:val="24"/>
        </w:rPr>
        <w:t xml:space="preserve">, </w:t>
      </w:r>
      <w:r w:rsidR="006322C4">
        <w:rPr>
          <w:rFonts w:ascii="Times New Roman" w:hAnsi="Times New Roman" w:cs="Times New Roman"/>
          <w:sz w:val="24"/>
          <w:szCs w:val="24"/>
        </w:rPr>
        <w:t xml:space="preserve">а преговарачке као изузетак предвиђен само за </w:t>
      </w:r>
      <w:r w:rsidR="00A14A0C">
        <w:rPr>
          <w:rFonts w:ascii="Times New Roman" w:hAnsi="Times New Roman" w:cs="Times New Roman"/>
          <w:sz w:val="24"/>
          <w:szCs w:val="24"/>
          <w:lang w:val="sr-Cyrl-RS"/>
        </w:rPr>
        <w:t>посебне</w:t>
      </w:r>
      <w:r w:rsidR="005440C4">
        <w:rPr>
          <w:rFonts w:ascii="Times New Roman" w:hAnsi="Times New Roman" w:cs="Times New Roman"/>
          <w:sz w:val="24"/>
          <w:szCs w:val="24"/>
        </w:rPr>
        <w:t xml:space="preserve"> случајев</w:t>
      </w:r>
      <w:r w:rsidR="006322C4">
        <w:rPr>
          <w:rFonts w:ascii="Times New Roman" w:hAnsi="Times New Roman" w:cs="Times New Roman"/>
          <w:sz w:val="24"/>
          <w:szCs w:val="24"/>
        </w:rPr>
        <w:t>е</w:t>
      </w:r>
      <w:r w:rsidR="005440C4">
        <w:rPr>
          <w:rFonts w:ascii="Times New Roman" w:hAnsi="Times New Roman" w:cs="Times New Roman"/>
          <w:sz w:val="24"/>
          <w:szCs w:val="24"/>
        </w:rPr>
        <w:t xml:space="preserve"> прописан</w:t>
      </w:r>
      <w:r w:rsidR="00964F05">
        <w:rPr>
          <w:rFonts w:ascii="Times New Roman" w:hAnsi="Times New Roman" w:cs="Times New Roman"/>
          <w:sz w:val="24"/>
          <w:szCs w:val="24"/>
        </w:rPr>
        <w:t>е</w:t>
      </w:r>
      <w:r w:rsidR="005440C4">
        <w:rPr>
          <w:rFonts w:ascii="Times New Roman" w:hAnsi="Times New Roman" w:cs="Times New Roman"/>
          <w:sz w:val="24"/>
          <w:szCs w:val="24"/>
        </w:rPr>
        <w:t xml:space="preserve"> </w:t>
      </w:r>
      <w:r w:rsidR="00C90FAD">
        <w:rPr>
          <w:rFonts w:ascii="Times New Roman" w:hAnsi="Times New Roman" w:cs="Times New Roman"/>
          <w:sz w:val="24"/>
          <w:szCs w:val="24"/>
          <w:lang w:val="sr-Cyrl-RS"/>
        </w:rPr>
        <w:t>З</w:t>
      </w:r>
      <w:r w:rsidR="005440C4">
        <w:rPr>
          <w:rFonts w:ascii="Times New Roman" w:hAnsi="Times New Roman" w:cs="Times New Roman"/>
          <w:sz w:val="24"/>
          <w:szCs w:val="24"/>
        </w:rPr>
        <w:t xml:space="preserve">аконом, </w:t>
      </w:r>
      <w:r w:rsidR="006322C4">
        <w:rPr>
          <w:rFonts w:ascii="Times New Roman" w:hAnsi="Times New Roman" w:cs="Times New Roman"/>
          <w:sz w:val="24"/>
          <w:szCs w:val="24"/>
        </w:rPr>
        <w:t>удео једних и других поступака у укупној вредности јавних набавки. Висок удео преговарачког</w:t>
      </w:r>
      <w:r w:rsidR="00D50094">
        <w:rPr>
          <w:rFonts w:ascii="Times New Roman" w:hAnsi="Times New Roman" w:cs="Times New Roman"/>
          <w:sz w:val="24"/>
          <w:szCs w:val="24"/>
        </w:rPr>
        <w:t xml:space="preserve"> поступка </w:t>
      </w:r>
      <w:r w:rsidR="006322C4">
        <w:rPr>
          <w:rFonts w:ascii="Times New Roman" w:hAnsi="Times New Roman" w:cs="Times New Roman"/>
          <w:sz w:val="24"/>
          <w:szCs w:val="24"/>
        </w:rPr>
        <w:t>показатељ је непримењивања кључног начела јавних набавки</w:t>
      </w:r>
      <w:r w:rsidR="00D04601">
        <w:rPr>
          <w:rFonts w:ascii="Times New Roman" w:hAnsi="Times New Roman" w:cs="Times New Roman"/>
          <w:sz w:val="24"/>
          <w:szCs w:val="24"/>
        </w:rPr>
        <w:t xml:space="preserve"> и самим тим </w:t>
      </w:r>
      <w:r w:rsidR="00D50094">
        <w:rPr>
          <w:rFonts w:ascii="Times New Roman" w:hAnsi="Times New Roman" w:cs="Times New Roman"/>
          <w:sz w:val="24"/>
          <w:szCs w:val="24"/>
        </w:rPr>
        <w:t>неадекватн</w:t>
      </w:r>
      <w:r w:rsidR="00D04601">
        <w:rPr>
          <w:rFonts w:ascii="Times New Roman" w:hAnsi="Times New Roman" w:cs="Times New Roman"/>
          <w:sz w:val="24"/>
          <w:szCs w:val="24"/>
        </w:rPr>
        <w:t>е</w:t>
      </w:r>
      <w:r w:rsidR="00D50094">
        <w:rPr>
          <w:rFonts w:ascii="Times New Roman" w:hAnsi="Times New Roman" w:cs="Times New Roman"/>
          <w:sz w:val="24"/>
          <w:szCs w:val="24"/>
        </w:rPr>
        <w:t xml:space="preserve"> примен</w:t>
      </w:r>
      <w:r w:rsidR="00D04601">
        <w:rPr>
          <w:rFonts w:ascii="Times New Roman" w:hAnsi="Times New Roman" w:cs="Times New Roman"/>
          <w:sz w:val="24"/>
          <w:szCs w:val="24"/>
        </w:rPr>
        <w:t>е</w:t>
      </w:r>
      <w:r w:rsidR="00D50094">
        <w:rPr>
          <w:rFonts w:ascii="Times New Roman" w:hAnsi="Times New Roman" w:cs="Times New Roman"/>
          <w:sz w:val="24"/>
          <w:szCs w:val="24"/>
        </w:rPr>
        <w:t xml:space="preserve"> </w:t>
      </w:r>
      <w:r w:rsidR="00C90FAD">
        <w:rPr>
          <w:rFonts w:ascii="Times New Roman" w:hAnsi="Times New Roman" w:cs="Times New Roman"/>
          <w:sz w:val="24"/>
          <w:szCs w:val="24"/>
          <w:lang w:val="sr-Cyrl-RS"/>
        </w:rPr>
        <w:t>З</w:t>
      </w:r>
      <w:r w:rsidR="00D50094">
        <w:rPr>
          <w:rFonts w:ascii="Times New Roman" w:hAnsi="Times New Roman" w:cs="Times New Roman"/>
          <w:sz w:val="24"/>
          <w:szCs w:val="24"/>
        </w:rPr>
        <w:t xml:space="preserve">акона.  </w:t>
      </w:r>
    </w:p>
    <w:p w:rsidR="00D04601" w:rsidRDefault="00D50094" w:rsidP="007B4B66">
      <w:pPr>
        <w:jc w:val="both"/>
        <w:rPr>
          <w:rFonts w:ascii="Times New Roman" w:hAnsi="Times New Roman" w:cs="Times New Roman"/>
          <w:sz w:val="24"/>
          <w:szCs w:val="24"/>
        </w:rPr>
      </w:pPr>
      <w:r>
        <w:rPr>
          <w:rFonts w:ascii="Times New Roman" w:hAnsi="Times New Roman" w:cs="Times New Roman"/>
          <w:sz w:val="24"/>
          <w:szCs w:val="24"/>
        </w:rPr>
        <w:t xml:space="preserve">Системе јавних набавки </w:t>
      </w:r>
      <w:r w:rsidR="00BC5EEE">
        <w:rPr>
          <w:rFonts w:ascii="Times New Roman" w:hAnsi="Times New Roman" w:cs="Times New Roman"/>
          <w:sz w:val="24"/>
          <w:szCs w:val="24"/>
        </w:rPr>
        <w:t xml:space="preserve">који су </w:t>
      </w:r>
      <w:r>
        <w:rPr>
          <w:rFonts w:ascii="Times New Roman" w:hAnsi="Times New Roman" w:cs="Times New Roman"/>
          <w:sz w:val="24"/>
          <w:szCs w:val="24"/>
        </w:rPr>
        <w:t xml:space="preserve">на нижем нивоу развоја карактерише висок удео </w:t>
      </w:r>
      <w:r w:rsidR="005440C4">
        <w:rPr>
          <w:rFonts w:ascii="Times New Roman" w:hAnsi="Times New Roman" w:cs="Times New Roman"/>
          <w:sz w:val="24"/>
          <w:szCs w:val="24"/>
        </w:rPr>
        <w:t>преговарачк</w:t>
      </w:r>
      <w:r>
        <w:rPr>
          <w:rFonts w:ascii="Times New Roman" w:hAnsi="Times New Roman" w:cs="Times New Roman"/>
          <w:sz w:val="24"/>
          <w:szCs w:val="24"/>
        </w:rPr>
        <w:t>ог по</w:t>
      </w:r>
      <w:r w:rsidR="00BC5EEE">
        <w:rPr>
          <w:rFonts w:ascii="Times New Roman" w:hAnsi="Times New Roman" w:cs="Times New Roman"/>
          <w:sz w:val="24"/>
          <w:szCs w:val="24"/>
        </w:rPr>
        <w:t>с</w:t>
      </w:r>
      <w:r>
        <w:rPr>
          <w:rFonts w:ascii="Times New Roman" w:hAnsi="Times New Roman" w:cs="Times New Roman"/>
          <w:sz w:val="24"/>
          <w:szCs w:val="24"/>
        </w:rPr>
        <w:t>туп</w:t>
      </w:r>
      <w:r w:rsidR="00697808">
        <w:rPr>
          <w:rFonts w:ascii="Times New Roman" w:hAnsi="Times New Roman" w:cs="Times New Roman"/>
          <w:sz w:val="24"/>
          <w:szCs w:val="24"/>
        </w:rPr>
        <w:t>а</w:t>
      </w:r>
      <w:r w:rsidR="005440C4">
        <w:rPr>
          <w:rFonts w:ascii="Times New Roman" w:hAnsi="Times New Roman" w:cs="Times New Roman"/>
          <w:sz w:val="24"/>
          <w:szCs w:val="24"/>
        </w:rPr>
        <w:t>к</w:t>
      </w:r>
      <w:r>
        <w:rPr>
          <w:rFonts w:ascii="Times New Roman" w:hAnsi="Times New Roman" w:cs="Times New Roman"/>
          <w:sz w:val="24"/>
          <w:szCs w:val="24"/>
        </w:rPr>
        <w:t>а</w:t>
      </w:r>
      <w:r w:rsidR="0044645B">
        <w:rPr>
          <w:rFonts w:ascii="Times New Roman" w:hAnsi="Times New Roman" w:cs="Times New Roman"/>
          <w:sz w:val="24"/>
          <w:szCs w:val="24"/>
        </w:rPr>
        <w:t>,</w:t>
      </w:r>
      <w:r w:rsidR="00762789">
        <w:rPr>
          <w:rFonts w:ascii="Times New Roman" w:hAnsi="Times New Roman" w:cs="Times New Roman"/>
          <w:sz w:val="24"/>
          <w:szCs w:val="24"/>
          <w:lang w:val="sr-Cyrl-RS"/>
        </w:rPr>
        <w:t xml:space="preserve"> </w:t>
      </w:r>
      <w:r w:rsidR="00BC5EEE">
        <w:rPr>
          <w:rFonts w:ascii="Times New Roman" w:hAnsi="Times New Roman" w:cs="Times New Roman"/>
          <w:sz w:val="24"/>
          <w:szCs w:val="24"/>
        </w:rPr>
        <w:t>зато што га</w:t>
      </w:r>
      <w:r w:rsidR="005440C4">
        <w:rPr>
          <w:rFonts w:ascii="Times New Roman" w:hAnsi="Times New Roman" w:cs="Times New Roman"/>
          <w:sz w:val="24"/>
          <w:szCs w:val="24"/>
        </w:rPr>
        <w:t xml:space="preserve"> већина наручилаца</w:t>
      </w:r>
      <w:r w:rsidR="00762789">
        <w:rPr>
          <w:rFonts w:ascii="Times New Roman" w:hAnsi="Times New Roman" w:cs="Times New Roman"/>
          <w:sz w:val="24"/>
          <w:szCs w:val="24"/>
          <w:lang w:val="sr-Cyrl-RS"/>
        </w:rPr>
        <w:t xml:space="preserve"> </w:t>
      </w:r>
      <w:r w:rsidR="005440C4">
        <w:rPr>
          <w:rFonts w:ascii="Times New Roman" w:hAnsi="Times New Roman" w:cs="Times New Roman"/>
          <w:sz w:val="24"/>
          <w:szCs w:val="24"/>
        </w:rPr>
        <w:t>третира као прву опцију када се опредељује за поступак</w:t>
      </w:r>
      <w:r w:rsidR="00696246">
        <w:rPr>
          <w:rFonts w:ascii="Times New Roman" w:hAnsi="Times New Roman" w:cs="Times New Roman"/>
          <w:sz w:val="24"/>
          <w:szCs w:val="24"/>
          <w:lang w:val="sr-Cyrl-RS"/>
        </w:rPr>
        <w:t>,</w:t>
      </w:r>
      <w:r w:rsidR="00BC5EEE">
        <w:rPr>
          <w:rFonts w:ascii="Times New Roman" w:hAnsi="Times New Roman" w:cs="Times New Roman"/>
          <w:sz w:val="24"/>
          <w:szCs w:val="24"/>
        </w:rPr>
        <w:t xml:space="preserve"> </w:t>
      </w:r>
      <w:r w:rsidR="00762789">
        <w:rPr>
          <w:rFonts w:ascii="Times New Roman" w:hAnsi="Times New Roman" w:cs="Times New Roman"/>
          <w:sz w:val="24"/>
          <w:szCs w:val="24"/>
          <w:lang w:val="sr-Cyrl-RS"/>
        </w:rPr>
        <w:t xml:space="preserve">у </w:t>
      </w:r>
      <w:r w:rsidR="00762789">
        <w:rPr>
          <w:rFonts w:ascii="Times New Roman" w:hAnsi="Times New Roman" w:cs="Times New Roman"/>
          <w:sz w:val="24"/>
          <w:szCs w:val="24"/>
          <w:lang w:val="sr-Cyrl-RS"/>
        </w:rPr>
        <w:lastRenderedPageBreak/>
        <w:t xml:space="preserve">намери да </w:t>
      </w:r>
      <w:r w:rsidR="00BC5EEE">
        <w:rPr>
          <w:rFonts w:ascii="Times New Roman" w:hAnsi="Times New Roman" w:cs="Times New Roman"/>
          <w:sz w:val="24"/>
          <w:szCs w:val="24"/>
        </w:rPr>
        <w:t>избегну</w:t>
      </w:r>
      <w:r w:rsidR="00EB3381">
        <w:rPr>
          <w:rFonts w:ascii="Times New Roman" w:hAnsi="Times New Roman" w:cs="Times New Roman"/>
          <w:sz w:val="24"/>
          <w:szCs w:val="24"/>
        </w:rPr>
        <w:t xml:space="preserve"> јавно оглашавање и конкуренцију.</w:t>
      </w:r>
      <w:r w:rsidR="00117AE0">
        <w:rPr>
          <w:rFonts w:ascii="Times New Roman" w:hAnsi="Times New Roman" w:cs="Times New Roman"/>
          <w:sz w:val="24"/>
          <w:szCs w:val="24"/>
          <w:lang w:val="sr-Cyrl-RS"/>
        </w:rPr>
        <w:t xml:space="preserve"> </w:t>
      </w:r>
      <w:r w:rsidR="00762789">
        <w:rPr>
          <w:rFonts w:ascii="Times New Roman" w:hAnsi="Times New Roman" w:cs="Times New Roman"/>
          <w:sz w:val="24"/>
          <w:szCs w:val="24"/>
          <w:lang w:val="sr-Cyrl-RS"/>
        </w:rPr>
        <w:t xml:space="preserve">За </w:t>
      </w:r>
      <w:r w:rsidR="00117AE0">
        <w:rPr>
          <w:rFonts w:ascii="Times New Roman" w:hAnsi="Times New Roman" w:cs="Times New Roman"/>
          <w:sz w:val="24"/>
          <w:szCs w:val="24"/>
          <w:lang w:val="sr-Cyrl-RS"/>
        </w:rPr>
        <w:t>овакво</w:t>
      </w:r>
      <w:r w:rsidR="00762789">
        <w:rPr>
          <w:rFonts w:ascii="Times New Roman" w:hAnsi="Times New Roman" w:cs="Times New Roman"/>
          <w:sz w:val="24"/>
          <w:szCs w:val="24"/>
          <w:lang w:val="sr-Cyrl-RS"/>
        </w:rPr>
        <w:t xml:space="preserve"> поступање наручилаца најчешћи р</w:t>
      </w:r>
      <w:r w:rsidR="00D04601">
        <w:rPr>
          <w:rFonts w:ascii="Times New Roman" w:hAnsi="Times New Roman" w:cs="Times New Roman"/>
          <w:sz w:val="24"/>
          <w:szCs w:val="24"/>
        </w:rPr>
        <w:t xml:space="preserve">азлози су недовољно развијени системи контроле и санкционисања, као и низак ниво свести. </w:t>
      </w:r>
    </w:p>
    <w:p w:rsidR="005440C4" w:rsidRDefault="005440C4" w:rsidP="007B4B66">
      <w:pPr>
        <w:jc w:val="both"/>
        <w:rPr>
          <w:rFonts w:ascii="Times New Roman" w:hAnsi="Times New Roman" w:cs="Times New Roman"/>
          <w:sz w:val="24"/>
          <w:szCs w:val="24"/>
        </w:rPr>
      </w:pPr>
      <w:r>
        <w:rPr>
          <w:rFonts w:ascii="Times New Roman" w:hAnsi="Times New Roman" w:cs="Times New Roman"/>
          <w:sz w:val="24"/>
          <w:szCs w:val="24"/>
        </w:rPr>
        <w:t>Преговарачки поступак има читав низ пот</w:t>
      </w:r>
      <w:r w:rsidR="00697808">
        <w:rPr>
          <w:rFonts w:ascii="Times New Roman" w:hAnsi="Times New Roman" w:cs="Times New Roman"/>
          <w:sz w:val="24"/>
          <w:szCs w:val="24"/>
        </w:rPr>
        <w:t>е</w:t>
      </w:r>
      <w:r>
        <w:rPr>
          <w:rFonts w:ascii="Times New Roman" w:hAnsi="Times New Roman" w:cs="Times New Roman"/>
          <w:sz w:val="24"/>
          <w:szCs w:val="24"/>
        </w:rPr>
        <w:t>нцијално негативних ефеката од којих су најзначајнији</w:t>
      </w:r>
      <w:r w:rsidR="00575264">
        <w:rPr>
          <w:rFonts w:ascii="Times New Roman" w:hAnsi="Times New Roman" w:cs="Times New Roman"/>
          <w:sz w:val="24"/>
          <w:szCs w:val="24"/>
          <w:lang w:val="sr-Cyrl-RS"/>
        </w:rPr>
        <w:t xml:space="preserve"> </w:t>
      </w:r>
      <w:r>
        <w:rPr>
          <w:rFonts w:ascii="Times New Roman" w:hAnsi="Times New Roman" w:cs="Times New Roman"/>
          <w:sz w:val="24"/>
          <w:szCs w:val="24"/>
        </w:rPr>
        <w:t>ограничена конкуренција и повећани ризик од злоупотреба</w:t>
      </w:r>
      <w:r w:rsidR="00BC5EEE">
        <w:rPr>
          <w:rFonts w:ascii="Times New Roman" w:hAnsi="Times New Roman" w:cs="Times New Roman"/>
          <w:sz w:val="24"/>
          <w:szCs w:val="24"/>
        </w:rPr>
        <w:t>, па је стога и предвиђен само за изузетне случајеве.</w:t>
      </w:r>
      <w:r w:rsidR="00105CEE">
        <w:rPr>
          <w:rFonts w:ascii="Times New Roman" w:hAnsi="Times New Roman" w:cs="Times New Roman"/>
          <w:sz w:val="24"/>
          <w:szCs w:val="24"/>
          <w:lang w:val="sr-Cyrl-RS"/>
        </w:rPr>
        <w:t xml:space="preserve"> </w:t>
      </w:r>
      <w:r w:rsidR="00BC5EEE">
        <w:rPr>
          <w:rFonts w:ascii="Times New Roman" w:hAnsi="Times New Roman" w:cs="Times New Roman"/>
          <w:sz w:val="24"/>
          <w:szCs w:val="24"/>
        </w:rPr>
        <w:t xml:space="preserve">Отуда </w:t>
      </w:r>
      <w:r>
        <w:rPr>
          <w:rFonts w:ascii="Times New Roman" w:hAnsi="Times New Roman" w:cs="Times New Roman"/>
          <w:sz w:val="24"/>
          <w:szCs w:val="24"/>
        </w:rPr>
        <w:t xml:space="preserve">се заступљеност преговарачких поступака у земљама ЕУ креће </w:t>
      </w:r>
      <w:r w:rsidR="003C21AE">
        <w:rPr>
          <w:rFonts w:ascii="Times New Roman" w:hAnsi="Times New Roman" w:cs="Times New Roman"/>
          <w:sz w:val="24"/>
          <w:szCs w:val="24"/>
        </w:rPr>
        <w:t>око</w:t>
      </w:r>
      <w:r w:rsidR="00105CEE">
        <w:rPr>
          <w:rFonts w:ascii="Times New Roman" w:hAnsi="Times New Roman" w:cs="Times New Roman"/>
          <w:sz w:val="24"/>
          <w:szCs w:val="24"/>
          <w:lang w:val="sr-Cyrl-RS"/>
        </w:rPr>
        <w:t xml:space="preserve"> </w:t>
      </w:r>
      <w:r>
        <w:rPr>
          <w:rFonts w:ascii="Times New Roman" w:hAnsi="Times New Roman" w:cs="Times New Roman"/>
          <w:sz w:val="24"/>
          <w:szCs w:val="24"/>
        </w:rPr>
        <w:t xml:space="preserve">5% у </w:t>
      </w:r>
      <w:r w:rsidR="00105CEE">
        <w:rPr>
          <w:rFonts w:ascii="Times New Roman" w:hAnsi="Times New Roman" w:cs="Times New Roman"/>
          <w:sz w:val="24"/>
          <w:szCs w:val="24"/>
          <w:lang w:val="sr-Cyrl-RS"/>
        </w:rPr>
        <w:t xml:space="preserve">укупној </w:t>
      </w:r>
      <w:r w:rsidR="00EB3381">
        <w:rPr>
          <w:rFonts w:ascii="Times New Roman" w:hAnsi="Times New Roman" w:cs="Times New Roman"/>
          <w:sz w:val="24"/>
          <w:szCs w:val="24"/>
        </w:rPr>
        <w:t xml:space="preserve">вредности јавних набавки и представља један од најзначајнијих показатеља </w:t>
      </w:r>
      <w:r w:rsidR="00181494">
        <w:rPr>
          <w:rFonts w:ascii="Times New Roman" w:hAnsi="Times New Roman" w:cs="Times New Roman"/>
          <w:sz w:val="24"/>
          <w:szCs w:val="24"/>
        </w:rPr>
        <w:t xml:space="preserve">нивоа развоја </w:t>
      </w:r>
      <w:r w:rsidR="00EB3381">
        <w:rPr>
          <w:rFonts w:ascii="Times New Roman" w:hAnsi="Times New Roman" w:cs="Times New Roman"/>
          <w:sz w:val="24"/>
          <w:szCs w:val="24"/>
        </w:rPr>
        <w:t>система</w:t>
      </w:r>
      <w:r w:rsidR="00181494">
        <w:rPr>
          <w:rFonts w:ascii="Times New Roman" w:hAnsi="Times New Roman" w:cs="Times New Roman"/>
          <w:sz w:val="24"/>
          <w:szCs w:val="24"/>
        </w:rPr>
        <w:t xml:space="preserve"> јавних набавки и степена усклађености са ЕУ стандардима. </w:t>
      </w:r>
    </w:p>
    <w:p w:rsidR="009965E9" w:rsidRDefault="005440C4" w:rsidP="007B4B66">
      <w:pPr>
        <w:jc w:val="both"/>
        <w:rPr>
          <w:rFonts w:ascii="Times New Roman" w:hAnsi="Times New Roman" w:cs="Times New Roman"/>
          <w:sz w:val="24"/>
          <w:szCs w:val="24"/>
        </w:rPr>
      </w:pPr>
      <w:r>
        <w:rPr>
          <w:rFonts w:ascii="Times New Roman" w:hAnsi="Times New Roman" w:cs="Times New Roman"/>
          <w:sz w:val="24"/>
          <w:szCs w:val="24"/>
        </w:rPr>
        <w:t xml:space="preserve">Учешће </w:t>
      </w:r>
      <w:r w:rsidR="00816103">
        <w:rPr>
          <w:rFonts w:ascii="Times New Roman" w:hAnsi="Times New Roman" w:cs="Times New Roman"/>
          <w:sz w:val="24"/>
          <w:szCs w:val="24"/>
        </w:rPr>
        <w:t xml:space="preserve">свих врста поступака у вредности јавних набавки у Србији приказано је у </w:t>
      </w:r>
      <w:r w:rsidR="00816103" w:rsidRPr="00092EBD">
        <w:rPr>
          <w:rFonts w:ascii="Times New Roman" w:hAnsi="Times New Roman" w:cs="Times New Roman"/>
          <w:sz w:val="24"/>
          <w:szCs w:val="24"/>
        </w:rPr>
        <w:t>Т</w:t>
      </w:r>
      <w:r w:rsidR="009965E9" w:rsidRPr="00092EBD">
        <w:rPr>
          <w:rFonts w:ascii="Times New Roman" w:hAnsi="Times New Roman" w:cs="Times New Roman"/>
          <w:sz w:val="24"/>
          <w:szCs w:val="24"/>
        </w:rPr>
        <w:t xml:space="preserve">абели </w:t>
      </w:r>
      <w:r w:rsidR="00326BC8" w:rsidRPr="00092EBD">
        <w:rPr>
          <w:rFonts w:ascii="Times New Roman" w:hAnsi="Times New Roman" w:cs="Times New Roman"/>
          <w:sz w:val="24"/>
          <w:szCs w:val="24"/>
        </w:rPr>
        <w:t>3</w:t>
      </w:r>
      <w:r w:rsidR="00816103" w:rsidRPr="00092EBD">
        <w:rPr>
          <w:rFonts w:ascii="Times New Roman" w:hAnsi="Times New Roman" w:cs="Times New Roman"/>
          <w:sz w:val="24"/>
          <w:szCs w:val="24"/>
        </w:rPr>
        <w:t>.</w:t>
      </w:r>
      <w:r w:rsidR="00816103">
        <w:rPr>
          <w:rFonts w:ascii="Times New Roman" w:hAnsi="Times New Roman" w:cs="Times New Roman"/>
          <w:sz w:val="24"/>
          <w:szCs w:val="24"/>
        </w:rPr>
        <w:t xml:space="preserve"> </w:t>
      </w:r>
    </w:p>
    <w:p w:rsidR="009965E9" w:rsidRPr="00092EBD" w:rsidRDefault="00092EBD" w:rsidP="009965E9">
      <w:pPr>
        <w:jc w:val="both"/>
        <w:rPr>
          <w:rFonts w:ascii="Times New Roman" w:hAnsi="Times New Roman" w:cs="Times New Roman"/>
          <w:b/>
          <w:sz w:val="24"/>
          <w:szCs w:val="24"/>
        </w:rPr>
      </w:pPr>
      <w:r>
        <w:rPr>
          <w:rFonts w:ascii="Times New Roman" w:hAnsi="Times New Roman" w:cs="Times New Roman"/>
          <w:b/>
          <w:sz w:val="24"/>
          <w:szCs w:val="24"/>
          <w:lang w:val="sr-Cyrl-RS"/>
        </w:rPr>
        <w:t xml:space="preserve">               </w:t>
      </w:r>
      <w:r w:rsidR="00464665" w:rsidRPr="00092EBD">
        <w:rPr>
          <w:rFonts w:ascii="Times New Roman" w:hAnsi="Times New Roman" w:cs="Times New Roman"/>
          <w:b/>
          <w:sz w:val="24"/>
          <w:szCs w:val="24"/>
        </w:rPr>
        <w:t>Табела 3</w:t>
      </w: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00" w:firstRow="0" w:lastRow="0" w:firstColumn="0" w:lastColumn="0" w:noHBand="0" w:noVBand="0"/>
      </w:tblPr>
      <w:tblGrid>
        <w:gridCol w:w="2521"/>
        <w:gridCol w:w="2311"/>
        <w:gridCol w:w="958"/>
        <w:gridCol w:w="2311"/>
        <w:gridCol w:w="855"/>
      </w:tblGrid>
      <w:tr w:rsidR="005A7E22" w:rsidRPr="005A7E22" w:rsidTr="00A8404D">
        <w:trPr>
          <w:trHeight w:val="765"/>
          <w:jc w:val="center"/>
        </w:trPr>
        <w:tc>
          <w:tcPr>
            <w:tcW w:w="8956" w:type="dxa"/>
            <w:gridSpan w:val="5"/>
          </w:tcPr>
          <w:p w:rsidR="009347E3" w:rsidRDefault="005A7E22" w:rsidP="009347E3">
            <w:pPr>
              <w:tabs>
                <w:tab w:val="left" w:pos="1885"/>
              </w:tabs>
              <w:spacing w:after="0" w:line="240" w:lineRule="auto"/>
              <w:jc w:val="center"/>
              <w:rPr>
                <w:rFonts w:ascii="Times New Roman" w:eastAsia="Times New Roman" w:hAnsi="Times New Roman" w:cs="Times New Roman"/>
                <w:b/>
                <w:color w:val="000000"/>
                <w:sz w:val="24"/>
                <w:szCs w:val="24"/>
                <w:lang w:val="sr-Cyrl-RS"/>
              </w:rPr>
            </w:pPr>
            <w:r w:rsidRPr="005A7E22">
              <w:rPr>
                <w:rFonts w:ascii="Times New Roman" w:eastAsia="Times New Roman" w:hAnsi="Times New Roman" w:cs="Times New Roman"/>
                <w:b/>
                <w:color w:val="000000"/>
                <w:sz w:val="24"/>
                <w:szCs w:val="24"/>
              </w:rPr>
              <w:t>Преглед вредносне структуре јавних набавки велике вредности</w:t>
            </w:r>
          </w:p>
          <w:p w:rsidR="005A7E22" w:rsidRPr="005A7E22" w:rsidRDefault="005A7E22" w:rsidP="009347E3">
            <w:pPr>
              <w:tabs>
                <w:tab w:val="left" w:pos="1885"/>
              </w:tabs>
              <w:spacing w:after="0" w:line="240" w:lineRule="auto"/>
              <w:jc w:val="center"/>
              <w:rPr>
                <w:rFonts w:ascii="Times New Roman" w:eastAsia="Times New Roman" w:hAnsi="Times New Roman" w:cs="Times New Roman"/>
                <w:b/>
                <w:color w:val="000000"/>
                <w:sz w:val="24"/>
                <w:szCs w:val="24"/>
              </w:rPr>
            </w:pPr>
            <w:r w:rsidRPr="005A7E22">
              <w:rPr>
                <w:rFonts w:ascii="Times New Roman" w:eastAsia="Times New Roman" w:hAnsi="Times New Roman" w:cs="Times New Roman"/>
                <w:b/>
                <w:color w:val="000000"/>
                <w:sz w:val="24"/>
                <w:szCs w:val="24"/>
              </w:rPr>
              <w:t xml:space="preserve"> по врстама поступака </w:t>
            </w:r>
          </w:p>
        </w:tc>
      </w:tr>
      <w:tr w:rsidR="005A7E22" w:rsidRPr="005A7E22" w:rsidTr="00A84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jc w:val="center"/>
        </w:trPr>
        <w:tc>
          <w:tcPr>
            <w:tcW w:w="2521" w:type="dxa"/>
            <w:tcBorders>
              <w:top w:val="single" w:sz="18" w:space="0" w:color="auto"/>
              <w:left w:val="single" w:sz="18" w:space="0" w:color="auto"/>
              <w:bottom w:val="single" w:sz="4" w:space="0" w:color="auto"/>
              <w:right w:val="single" w:sz="18" w:space="0" w:color="auto"/>
            </w:tcBorders>
            <w:vAlign w:val="center"/>
          </w:tcPr>
          <w:p w:rsidR="005A7E22" w:rsidRPr="005A7E22" w:rsidRDefault="005A7E22" w:rsidP="005A7E22">
            <w:pPr>
              <w:tabs>
                <w:tab w:val="left" w:pos="1885"/>
              </w:tabs>
              <w:spacing w:after="0" w:line="240" w:lineRule="auto"/>
              <w:jc w:val="center"/>
              <w:rPr>
                <w:rFonts w:ascii="Times New Roman" w:eastAsia="Times New Roman" w:hAnsi="Times New Roman" w:cs="Times New Roman"/>
                <w:b/>
                <w:color w:val="000000"/>
                <w:sz w:val="20"/>
                <w:szCs w:val="20"/>
              </w:rPr>
            </w:pPr>
          </w:p>
          <w:p w:rsidR="005A7E22" w:rsidRPr="005A7E22" w:rsidRDefault="005A7E22" w:rsidP="005A7E22">
            <w:pPr>
              <w:tabs>
                <w:tab w:val="left" w:pos="1885"/>
              </w:tabs>
              <w:spacing w:after="0" w:line="240" w:lineRule="auto"/>
              <w:jc w:val="center"/>
              <w:rPr>
                <w:rFonts w:ascii="Times New Roman" w:eastAsia="Times New Roman" w:hAnsi="Times New Roman" w:cs="Times New Roman"/>
                <w:b/>
                <w:color w:val="000000"/>
                <w:sz w:val="20"/>
                <w:szCs w:val="20"/>
              </w:rPr>
            </w:pPr>
            <w:r w:rsidRPr="005A7E22">
              <w:rPr>
                <w:rFonts w:ascii="Times New Roman" w:eastAsia="Times New Roman" w:hAnsi="Times New Roman" w:cs="Times New Roman"/>
                <w:b/>
                <w:color w:val="000000"/>
                <w:sz w:val="20"/>
                <w:szCs w:val="20"/>
              </w:rPr>
              <w:t>Период</w:t>
            </w:r>
          </w:p>
        </w:tc>
        <w:tc>
          <w:tcPr>
            <w:tcW w:w="3269" w:type="dxa"/>
            <w:gridSpan w:val="2"/>
            <w:tcBorders>
              <w:top w:val="single" w:sz="18" w:space="0" w:color="auto"/>
              <w:left w:val="single" w:sz="18" w:space="0" w:color="auto"/>
              <w:bottom w:val="single" w:sz="4" w:space="0" w:color="auto"/>
              <w:right w:val="single" w:sz="18" w:space="0" w:color="auto"/>
            </w:tcBorders>
            <w:vAlign w:val="center"/>
          </w:tcPr>
          <w:p w:rsidR="005A7E22" w:rsidRPr="005A7E22" w:rsidRDefault="005A7E22" w:rsidP="005A7E22">
            <w:pPr>
              <w:tabs>
                <w:tab w:val="left" w:pos="1885"/>
              </w:tabs>
              <w:spacing w:after="0" w:line="240" w:lineRule="auto"/>
              <w:jc w:val="center"/>
              <w:rPr>
                <w:rFonts w:ascii="Times New Roman" w:eastAsia="Times New Roman" w:hAnsi="Times New Roman" w:cs="Times New Roman"/>
                <w:b/>
                <w:color w:val="000000"/>
                <w:sz w:val="20"/>
                <w:szCs w:val="20"/>
                <w:lang w:val="en-US"/>
              </w:rPr>
            </w:pPr>
            <w:r w:rsidRPr="005A7E22">
              <w:rPr>
                <w:rFonts w:ascii="Times New Roman" w:eastAsia="Times New Roman" w:hAnsi="Times New Roman" w:cs="Times New Roman"/>
                <w:b/>
                <w:color w:val="000000"/>
                <w:sz w:val="20"/>
                <w:szCs w:val="20"/>
                <w:lang w:val="sr-Cyrl-CS"/>
              </w:rPr>
              <w:t>2013.</w:t>
            </w:r>
          </w:p>
          <w:p w:rsidR="005A7E22" w:rsidRPr="009347E3" w:rsidRDefault="003F7A4A" w:rsidP="009347E3">
            <w:pPr>
              <w:tabs>
                <w:tab w:val="left" w:pos="1885"/>
              </w:tabs>
              <w:spacing w:after="0" w:line="240" w:lineRule="auto"/>
              <w:jc w:val="center"/>
              <w:rPr>
                <w:rFonts w:ascii="Times New Roman" w:eastAsia="Times New Roman" w:hAnsi="Times New Roman" w:cs="Times New Roman"/>
                <w:b/>
                <w:color w:val="000000"/>
                <w:sz w:val="20"/>
                <w:szCs w:val="20"/>
                <w:lang w:val="sr-Cyrl-RS"/>
              </w:rPr>
            </w:pPr>
            <w:r>
              <w:rPr>
                <w:rFonts w:ascii="Times New Roman" w:eastAsia="Times New Roman" w:hAnsi="Times New Roman" w:cs="Times New Roman"/>
                <w:b/>
                <w:color w:val="000000"/>
                <w:sz w:val="20"/>
                <w:szCs w:val="20"/>
                <w:lang w:val="sr-Cyrl-RS"/>
              </w:rPr>
              <w:t>п</w:t>
            </w:r>
            <w:r w:rsidR="005A7E22" w:rsidRPr="005A7E22">
              <w:rPr>
                <w:rFonts w:ascii="Times New Roman" w:eastAsia="Times New Roman" w:hAnsi="Times New Roman" w:cs="Times New Roman"/>
                <w:b/>
                <w:color w:val="000000"/>
                <w:sz w:val="20"/>
                <w:szCs w:val="20"/>
              </w:rPr>
              <w:t>рво полуго</w:t>
            </w:r>
            <w:r w:rsidR="009347E3">
              <w:rPr>
                <w:rFonts w:ascii="Times New Roman" w:eastAsia="Times New Roman" w:hAnsi="Times New Roman" w:cs="Times New Roman"/>
                <w:b/>
                <w:color w:val="000000"/>
                <w:sz w:val="20"/>
                <w:szCs w:val="20"/>
                <w:lang w:val="sr-Cyrl-RS"/>
              </w:rPr>
              <w:t>диште</w:t>
            </w:r>
          </w:p>
        </w:tc>
        <w:tc>
          <w:tcPr>
            <w:tcW w:w="3166" w:type="dxa"/>
            <w:gridSpan w:val="2"/>
            <w:tcBorders>
              <w:top w:val="single" w:sz="18" w:space="0" w:color="auto"/>
              <w:left w:val="single" w:sz="18" w:space="0" w:color="auto"/>
              <w:bottom w:val="single" w:sz="4" w:space="0" w:color="auto"/>
              <w:right w:val="single" w:sz="18" w:space="0" w:color="auto"/>
            </w:tcBorders>
            <w:vAlign w:val="center"/>
            <w:hideMark/>
          </w:tcPr>
          <w:p w:rsidR="005A7E22" w:rsidRPr="005A7E22" w:rsidRDefault="005A7E22" w:rsidP="005A7E22">
            <w:pPr>
              <w:tabs>
                <w:tab w:val="left" w:pos="1885"/>
              </w:tabs>
              <w:spacing w:after="0" w:line="240" w:lineRule="auto"/>
              <w:jc w:val="center"/>
              <w:rPr>
                <w:rFonts w:ascii="Times New Roman" w:eastAsia="Times New Roman" w:hAnsi="Times New Roman" w:cs="Times New Roman"/>
                <w:b/>
                <w:color w:val="000000"/>
                <w:sz w:val="20"/>
                <w:szCs w:val="20"/>
              </w:rPr>
            </w:pPr>
            <w:r w:rsidRPr="005A7E22">
              <w:rPr>
                <w:rFonts w:ascii="Times New Roman" w:eastAsia="Times New Roman" w:hAnsi="Times New Roman" w:cs="Times New Roman"/>
                <w:b/>
                <w:color w:val="000000"/>
                <w:sz w:val="20"/>
                <w:szCs w:val="20"/>
              </w:rPr>
              <w:t>2014.</w:t>
            </w:r>
          </w:p>
          <w:p w:rsidR="005A7E22" w:rsidRPr="009347E3" w:rsidRDefault="003F7A4A" w:rsidP="009347E3">
            <w:pPr>
              <w:tabs>
                <w:tab w:val="left" w:pos="1885"/>
              </w:tabs>
              <w:spacing w:after="0" w:line="240" w:lineRule="auto"/>
              <w:jc w:val="center"/>
              <w:rPr>
                <w:rFonts w:ascii="Times New Roman" w:eastAsia="Times New Roman" w:hAnsi="Times New Roman" w:cs="Times New Roman"/>
                <w:b/>
                <w:color w:val="000000"/>
                <w:sz w:val="20"/>
                <w:szCs w:val="20"/>
                <w:lang w:val="sr-Cyrl-RS"/>
              </w:rPr>
            </w:pPr>
            <w:r>
              <w:rPr>
                <w:rFonts w:ascii="Times New Roman" w:eastAsia="Times New Roman" w:hAnsi="Times New Roman" w:cs="Times New Roman"/>
                <w:b/>
                <w:color w:val="000000"/>
                <w:sz w:val="20"/>
                <w:szCs w:val="20"/>
                <w:lang w:val="sr-Cyrl-RS"/>
              </w:rPr>
              <w:t>п</w:t>
            </w:r>
            <w:r w:rsidR="005A7E22" w:rsidRPr="005A7E22">
              <w:rPr>
                <w:rFonts w:ascii="Times New Roman" w:eastAsia="Times New Roman" w:hAnsi="Times New Roman" w:cs="Times New Roman"/>
                <w:b/>
                <w:color w:val="000000"/>
                <w:sz w:val="20"/>
                <w:szCs w:val="20"/>
              </w:rPr>
              <w:t>рво полуго</w:t>
            </w:r>
            <w:r w:rsidR="009347E3">
              <w:rPr>
                <w:rFonts w:ascii="Times New Roman" w:eastAsia="Times New Roman" w:hAnsi="Times New Roman" w:cs="Times New Roman"/>
                <w:b/>
                <w:color w:val="000000"/>
                <w:sz w:val="20"/>
                <w:szCs w:val="20"/>
                <w:lang w:val="sr-Cyrl-RS"/>
              </w:rPr>
              <w:t>диште</w:t>
            </w:r>
          </w:p>
        </w:tc>
      </w:tr>
      <w:tr w:rsidR="005A7E22" w:rsidRPr="005A7E22" w:rsidTr="00A84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jc w:val="center"/>
        </w:trPr>
        <w:tc>
          <w:tcPr>
            <w:tcW w:w="2521" w:type="dxa"/>
            <w:tcBorders>
              <w:top w:val="single" w:sz="4" w:space="0" w:color="auto"/>
              <w:left w:val="single" w:sz="18" w:space="0" w:color="auto"/>
              <w:bottom w:val="single" w:sz="4" w:space="0" w:color="auto"/>
              <w:right w:val="single" w:sz="18" w:space="0" w:color="auto"/>
            </w:tcBorders>
            <w:vAlign w:val="center"/>
          </w:tcPr>
          <w:p w:rsidR="005A7E22" w:rsidRPr="005A7E22" w:rsidRDefault="005A7E22" w:rsidP="005A7E22">
            <w:pPr>
              <w:tabs>
                <w:tab w:val="left" w:pos="1885"/>
              </w:tabs>
              <w:spacing w:after="0" w:line="240" w:lineRule="auto"/>
              <w:jc w:val="center"/>
              <w:rPr>
                <w:rFonts w:ascii="Times New Roman" w:eastAsia="Times New Roman" w:hAnsi="Times New Roman" w:cs="Times New Roman"/>
                <w:b/>
                <w:color w:val="000000"/>
                <w:sz w:val="20"/>
                <w:szCs w:val="20"/>
              </w:rPr>
            </w:pPr>
            <w:r w:rsidRPr="005A7E22">
              <w:rPr>
                <w:rFonts w:ascii="Times New Roman" w:eastAsia="Times New Roman" w:hAnsi="Times New Roman" w:cs="Times New Roman"/>
                <w:b/>
                <w:color w:val="000000"/>
                <w:sz w:val="20"/>
                <w:szCs w:val="20"/>
              </w:rPr>
              <w:t>Врста поступка</w:t>
            </w:r>
          </w:p>
          <w:p w:rsidR="005A7E22" w:rsidRPr="005A7E22" w:rsidRDefault="005A7E22" w:rsidP="005A7E22">
            <w:pPr>
              <w:tabs>
                <w:tab w:val="left" w:pos="1885"/>
              </w:tabs>
              <w:spacing w:after="0" w:line="240" w:lineRule="auto"/>
              <w:jc w:val="center"/>
              <w:rPr>
                <w:rFonts w:ascii="Times New Roman" w:eastAsia="Times New Roman" w:hAnsi="Times New Roman" w:cs="Times New Roman"/>
                <w:b/>
                <w:color w:val="000000"/>
                <w:sz w:val="20"/>
                <w:szCs w:val="20"/>
              </w:rPr>
            </w:pPr>
          </w:p>
        </w:tc>
        <w:tc>
          <w:tcPr>
            <w:tcW w:w="2311" w:type="dxa"/>
            <w:tcBorders>
              <w:top w:val="single" w:sz="4" w:space="0" w:color="auto"/>
              <w:left w:val="single" w:sz="18" w:space="0" w:color="auto"/>
              <w:bottom w:val="single" w:sz="4" w:space="0" w:color="auto"/>
              <w:right w:val="single" w:sz="4" w:space="0" w:color="auto"/>
            </w:tcBorders>
            <w:vAlign w:val="center"/>
            <w:hideMark/>
          </w:tcPr>
          <w:p w:rsidR="001F6316" w:rsidRDefault="001F6316" w:rsidP="001F6316">
            <w:pPr>
              <w:tabs>
                <w:tab w:val="left" w:pos="1885"/>
              </w:tabs>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Уговорена </w:t>
            </w:r>
            <w:r w:rsidR="005A7E22" w:rsidRPr="005A7E22">
              <w:rPr>
                <w:rFonts w:ascii="Times New Roman" w:eastAsia="Times New Roman" w:hAnsi="Times New Roman" w:cs="Times New Roman"/>
                <w:b/>
                <w:color w:val="000000"/>
                <w:sz w:val="20"/>
                <w:szCs w:val="20"/>
              </w:rPr>
              <w:t xml:space="preserve">вредност </w:t>
            </w:r>
          </w:p>
          <w:p w:rsidR="005A7E22" w:rsidRPr="005A7E22" w:rsidRDefault="005A7E22" w:rsidP="005A7E22">
            <w:pPr>
              <w:tabs>
                <w:tab w:val="left" w:pos="1885"/>
              </w:tabs>
              <w:spacing w:after="0" w:line="240" w:lineRule="auto"/>
              <w:jc w:val="center"/>
              <w:rPr>
                <w:rFonts w:ascii="Times New Roman" w:eastAsia="Times New Roman" w:hAnsi="Times New Roman" w:cs="Times New Roman"/>
                <w:b/>
                <w:color w:val="000000"/>
                <w:sz w:val="20"/>
                <w:szCs w:val="20"/>
              </w:rPr>
            </w:pPr>
            <w:r w:rsidRPr="005A7E22">
              <w:rPr>
                <w:rFonts w:ascii="Times New Roman" w:eastAsia="Times New Roman" w:hAnsi="Times New Roman" w:cs="Times New Roman"/>
                <w:b/>
                <w:color w:val="000000"/>
                <w:sz w:val="20"/>
                <w:szCs w:val="20"/>
              </w:rPr>
              <w:t>(у хиљадама</w:t>
            </w:r>
          </w:p>
          <w:p w:rsidR="005A7E22" w:rsidRPr="005A7E22" w:rsidRDefault="005A7E22" w:rsidP="005A7E22">
            <w:pPr>
              <w:tabs>
                <w:tab w:val="left" w:pos="1885"/>
              </w:tabs>
              <w:spacing w:after="0" w:line="240" w:lineRule="auto"/>
              <w:jc w:val="center"/>
              <w:rPr>
                <w:rFonts w:ascii="Times New Roman" w:eastAsia="Times New Roman" w:hAnsi="Times New Roman" w:cs="Times New Roman"/>
                <w:b/>
                <w:color w:val="000000"/>
                <w:sz w:val="20"/>
                <w:szCs w:val="20"/>
              </w:rPr>
            </w:pPr>
            <w:r w:rsidRPr="005A7E22">
              <w:rPr>
                <w:rFonts w:ascii="Times New Roman" w:eastAsia="Times New Roman" w:hAnsi="Times New Roman" w:cs="Times New Roman"/>
                <w:b/>
                <w:color w:val="000000"/>
                <w:sz w:val="20"/>
                <w:szCs w:val="20"/>
              </w:rPr>
              <w:t>динара)</w:t>
            </w:r>
          </w:p>
        </w:tc>
        <w:tc>
          <w:tcPr>
            <w:tcW w:w="958" w:type="dxa"/>
            <w:tcBorders>
              <w:top w:val="single" w:sz="4" w:space="0" w:color="auto"/>
              <w:left w:val="single" w:sz="4" w:space="0" w:color="auto"/>
              <w:bottom w:val="single" w:sz="4" w:space="0" w:color="auto"/>
              <w:right w:val="single" w:sz="18" w:space="0" w:color="auto"/>
            </w:tcBorders>
            <w:vAlign w:val="center"/>
            <w:hideMark/>
          </w:tcPr>
          <w:p w:rsidR="005A7E22" w:rsidRPr="005A7E22" w:rsidRDefault="005A7E22" w:rsidP="005A7E22">
            <w:pPr>
              <w:tabs>
                <w:tab w:val="left" w:pos="1885"/>
              </w:tabs>
              <w:spacing w:after="0" w:line="240" w:lineRule="auto"/>
              <w:jc w:val="center"/>
              <w:rPr>
                <w:rFonts w:ascii="Times New Roman" w:eastAsia="Times New Roman" w:hAnsi="Times New Roman" w:cs="Times New Roman"/>
                <w:b/>
                <w:color w:val="000000"/>
                <w:sz w:val="20"/>
                <w:szCs w:val="20"/>
              </w:rPr>
            </w:pPr>
            <w:r w:rsidRPr="005A7E22">
              <w:rPr>
                <w:rFonts w:ascii="Times New Roman" w:eastAsia="Times New Roman" w:hAnsi="Times New Roman" w:cs="Times New Roman"/>
                <w:b/>
                <w:color w:val="000000"/>
                <w:sz w:val="20"/>
                <w:szCs w:val="20"/>
              </w:rPr>
              <w:t>%</w:t>
            </w:r>
          </w:p>
        </w:tc>
        <w:tc>
          <w:tcPr>
            <w:tcW w:w="2311" w:type="dxa"/>
            <w:tcBorders>
              <w:top w:val="single" w:sz="4" w:space="0" w:color="auto"/>
              <w:left w:val="single" w:sz="18" w:space="0" w:color="auto"/>
              <w:bottom w:val="single" w:sz="4" w:space="0" w:color="auto"/>
              <w:right w:val="single" w:sz="4" w:space="0" w:color="auto"/>
            </w:tcBorders>
            <w:vAlign w:val="center"/>
            <w:hideMark/>
          </w:tcPr>
          <w:p w:rsidR="001F6316" w:rsidRDefault="001F6316" w:rsidP="001F6316">
            <w:pPr>
              <w:tabs>
                <w:tab w:val="left" w:pos="1885"/>
              </w:tabs>
              <w:spacing w:after="0" w:line="240" w:lineRule="auto"/>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Уговорена </w:t>
            </w:r>
            <w:r w:rsidR="005A7E22" w:rsidRPr="005A7E22">
              <w:rPr>
                <w:rFonts w:ascii="Times New Roman" w:eastAsia="Times New Roman" w:hAnsi="Times New Roman" w:cs="Times New Roman"/>
                <w:b/>
                <w:color w:val="000000"/>
                <w:sz w:val="20"/>
                <w:szCs w:val="20"/>
              </w:rPr>
              <w:t xml:space="preserve">вредност </w:t>
            </w:r>
          </w:p>
          <w:p w:rsidR="005A7E22" w:rsidRPr="005A7E22" w:rsidRDefault="005A7E22" w:rsidP="005A7E22">
            <w:pPr>
              <w:tabs>
                <w:tab w:val="left" w:pos="1885"/>
              </w:tabs>
              <w:spacing w:after="0" w:line="240" w:lineRule="auto"/>
              <w:jc w:val="center"/>
              <w:rPr>
                <w:rFonts w:ascii="Times New Roman" w:eastAsia="Times New Roman" w:hAnsi="Times New Roman" w:cs="Times New Roman"/>
                <w:b/>
                <w:color w:val="000000"/>
                <w:sz w:val="20"/>
                <w:szCs w:val="20"/>
              </w:rPr>
            </w:pPr>
            <w:r w:rsidRPr="005A7E22">
              <w:rPr>
                <w:rFonts w:ascii="Times New Roman" w:eastAsia="Times New Roman" w:hAnsi="Times New Roman" w:cs="Times New Roman"/>
                <w:b/>
                <w:color w:val="000000"/>
                <w:sz w:val="20"/>
                <w:szCs w:val="20"/>
              </w:rPr>
              <w:t>(у хиљадама</w:t>
            </w:r>
          </w:p>
          <w:p w:rsidR="005A7E22" w:rsidRPr="005A7E22" w:rsidRDefault="005A7E22" w:rsidP="005A7E22">
            <w:pPr>
              <w:tabs>
                <w:tab w:val="left" w:pos="1885"/>
              </w:tabs>
              <w:spacing w:after="0" w:line="240" w:lineRule="auto"/>
              <w:jc w:val="center"/>
              <w:rPr>
                <w:rFonts w:ascii="Times New Roman" w:eastAsia="Times New Roman" w:hAnsi="Times New Roman" w:cs="Times New Roman"/>
                <w:b/>
                <w:color w:val="000000"/>
                <w:sz w:val="20"/>
                <w:szCs w:val="20"/>
              </w:rPr>
            </w:pPr>
            <w:r w:rsidRPr="005A7E22">
              <w:rPr>
                <w:rFonts w:ascii="Times New Roman" w:eastAsia="Times New Roman" w:hAnsi="Times New Roman" w:cs="Times New Roman"/>
                <w:b/>
                <w:color w:val="000000"/>
                <w:sz w:val="20"/>
                <w:szCs w:val="20"/>
              </w:rPr>
              <w:t>динара)</w:t>
            </w:r>
          </w:p>
        </w:tc>
        <w:tc>
          <w:tcPr>
            <w:tcW w:w="855" w:type="dxa"/>
            <w:tcBorders>
              <w:top w:val="single" w:sz="4" w:space="0" w:color="auto"/>
              <w:left w:val="single" w:sz="4" w:space="0" w:color="auto"/>
              <w:bottom w:val="single" w:sz="4" w:space="0" w:color="auto"/>
              <w:right w:val="single" w:sz="18" w:space="0" w:color="auto"/>
            </w:tcBorders>
            <w:vAlign w:val="center"/>
            <w:hideMark/>
          </w:tcPr>
          <w:p w:rsidR="005A7E22" w:rsidRPr="005A7E22" w:rsidRDefault="005A7E22" w:rsidP="005A7E22">
            <w:pPr>
              <w:tabs>
                <w:tab w:val="left" w:pos="1885"/>
              </w:tabs>
              <w:spacing w:after="0" w:line="240" w:lineRule="auto"/>
              <w:jc w:val="center"/>
              <w:rPr>
                <w:rFonts w:ascii="Times New Roman" w:eastAsia="Times New Roman" w:hAnsi="Times New Roman" w:cs="Times New Roman"/>
                <w:b/>
                <w:color w:val="000000"/>
                <w:sz w:val="20"/>
                <w:szCs w:val="20"/>
              </w:rPr>
            </w:pPr>
            <w:r w:rsidRPr="005A7E22">
              <w:rPr>
                <w:rFonts w:ascii="Times New Roman" w:eastAsia="Times New Roman" w:hAnsi="Times New Roman" w:cs="Times New Roman"/>
                <w:b/>
                <w:color w:val="000000"/>
                <w:sz w:val="20"/>
                <w:szCs w:val="20"/>
              </w:rPr>
              <w:t>%</w:t>
            </w:r>
          </w:p>
        </w:tc>
      </w:tr>
      <w:tr w:rsidR="005A7E22" w:rsidRPr="005A7E22" w:rsidTr="00A84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jc w:val="center"/>
        </w:trPr>
        <w:tc>
          <w:tcPr>
            <w:tcW w:w="2521" w:type="dxa"/>
            <w:tcBorders>
              <w:top w:val="single" w:sz="4" w:space="0" w:color="auto"/>
              <w:left w:val="single" w:sz="18" w:space="0" w:color="auto"/>
              <w:bottom w:val="single" w:sz="4" w:space="0" w:color="auto"/>
              <w:right w:val="single" w:sz="18" w:space="0" w:color="auto"/>
            </w:tcBorders>
            <w:vAlign w:val="center"/>
            <w:hideMark/>
          </w:tcPr>
          <w:p w:rsidR="005A7E22" w:rsidRPr="005A7E22" w:rsidRDefault="005A7E22" w:rsidP="005A7E22">
            <w:pPr>
              <w:tabs>
                <w:tab w:val="left" w:pos="3622"/>
              </w:tabs>
              <w:spacing w:after="0" w:line="240" w:lineRule="auto"/>
              <w:jc w:val="center"/>
              <w:rPr>
                <w:rFonts w:ascii="Times New Roman" w:eastAsia="Times New Roman" w:hAnsi="Times New Roman" w:cs="Times New Roman"/>
                <w:b/>
                <w:color w:val="000000"/>
                <w:sz w:val="20"/>
                <w:szCs w:val="20"/>
              </w:rPr>
            </w:pPr>
            <w:r w:rsidRPr="005A7E22">
              <w:rPr>
                <w:rFonts w:ascii="Times New Roman" w:eastAsia="Times New Roman" w:hAnsi="Times New Roman" w:cs="Times New Roman"/>
                <w:b/>
                <w:color w:val="000000"/>
                <w:sz w:val="20"/>
                <w:szCs w:val="20"/>
              </w:rPr>
              <w:t>Отворени поступак</w:t>
            </w:r>
          </w:p>
          <w:p w:rsidR="005A7E22" w:rsidRPr="005A7E22" w:rsidRDefault="005A7E22" w:rsidP="005A7E22">
            <w:pPr>
              <w:tabs>
                <w:tab w:val="left" w:pos="3622"/>
              </w:tabs>
              <w:spacing w:after="0" w:line="240" w:lineRule="auto"/>
              <w:jc w:val="center"/>
              <w:rPr>
                <w:rFonts w:ascii="Times New Roman" w:eastAsia="Times New Roman" w:hAnsi="Times New Roman" w:cs="Times New Roman"/>
                <w:b/>
                <w:color w:val="000000"/>
                <w:sz w:val="20"/>
                <w:szCs w:val="20"/>
              </w:rPr>
            </w:pPr>
            <w:r w:rsidRPr="005A7E22">
              <w:rPr>
                <w:rFonts w:ascii="Times New Roman" w:eastAsia="Times New Roman" w:hAnsi="Times New Roman" w:cs="Times New Roman"/>
                <w:b/>
                <w:color w:val="000000"/>
                <w:sz w:val="20"/>
                <w:szCs w:val="20"/>
              </w:rPr>
              <w:t>(зјн2008 + зјн2012)</w:t>
            </w:r>
          </w:p>
        </w:tc>
        <w:tc>
          <w:tcPr>
            <w:tcW w:w="2311" w:type="dxa"/>
            <w:tcBorders>
              <w:top w:val="single" w:sz="4" w:space="0" w:color="auto"/>
              <w:left w:val="single" w:sz="18" w:space="0" w:color="auto"/>
              <w:bottom w:val="single" w:sz="4" w:space="0" w:color="auto"/>
              <w:right w:val="single" w:sz="4" w:space="0" w:color="auto"/>
            </w:tcBorders>
            <w:vAlign w:val="center"/>
          </w:tcPr>
          <w:p w:rsidR="005A7E22" w:rsidRPr="005A7E22" w:rsidRDefault="005A7E22" w:rsidP="005A7E22">
            <w:pPr>
              <w:spacing w:after="0" w:line="240" w:lineRule="auto"/>
              <w:jc w:val="center"/>
              <w:rPr>
                <w:rFonts w:ascii="Calibri" w:eastAsia="Times New Roman" w:hAnsi="Calibri" w:cs="Calibri"/>
                <w:color w:val="000000"/>
              </w:rPr>
            </w:pPr>
            <w:r w:rsidRPr="005A7E22">
              <w:rPr>
                <w:rFonts w:ascii="Calibri" w:eastAsia="Times New Roman" w:hAnsi="Calibri" w:cs="Calibri"/>
                <w:color w:val="000000"/>
              </w:rPr>
              <w:t>61.134.816</w:t>
            </w:r>
          </w:p>
        </w:tc>
        <w:tc>
          <w:tcPr>
            <w:tcW w:w="958" w:type="dxa"/>
            <w:tcBorders>
              <w:top w:val="single" w:sz="4" w:space="0" w:color="auto"/>
              <w:left w:val="single" w:sz="4" w:space="0" w:color="auto"/>
              <w:bottom w:val="single" w:sz="4" w:space="0" w:color="auto"/>
              <w:right w:val="single" w:sz="18" w:space="0" w:color="auto"/>
            </w:tcBorders>
            <w:vAlign w:val="center"/>
          </w:tcPr>
          <w:p w:rsidR="005A7E22" w:rsidRPr="005A7E22" w:rsidRDefault="005A7E22" w:rsidP="005A7E22">
            <w:pPr>
              <w:spacing w:after="0" w:line="240" w:lineRule="auto"/>
              <w:jc w:val="center"/>
              <w:rPr>
                <w:rFonts w:ascii="Calibri" w:eastAsia="Times New Roman" w:hAnsi="Calibri" w:cs="Calibri"/>
                <w:color w:val="000000"/>
              </w:rPr>
            </w:pPr>
            <w:r w:rsidRPr="005A7E22">
              <w:rPr>
                <w:rFonts w:ascii="Calibri" w:eastAsia="Times New Roman" w:hAnsi="Calibri" w:cs="Calibri"/>
                <w:color w:val="000000"/>
              </w:rPr>
              <w:t>54</w:t>
            </w:r>
          </w:p>
        </w:tc>
        <w:tc>
          <w:tcPr>
            <w:tcW w:w="2311" w:type="dxa"/>
            <w:tcBorders>
              <w:top w:val="single" w:sz="4" w:space="0" w:color="auto"/>
              <w:left w:val="single" w:sz="18" w:space="0" w:color="auto"/>
              <w:bottom w:val="single" w:sz="4" w:space="0" w:color="auto"/>
              <w:right w:val="single" w:sz="4" w:space="0" w:color="auto"/>
            </w:tcBorders>
            <w:vAlign w:val="center"/>
          </w:tcPr>
          <w:p w:rsidR="005A7E22" w:rsidRPr="005A7E22" w:rsidRDefault="005A7E22" w:rsidP="005A7E22">
            <w:pPr>
              <w:spacing w:after="0" w:line="240" w:lineRule="auto"/>
              <w:jc w:val="center"/>
              <w:rPr>
                <w:rFonts w:ascii="Calibri" w:eastAsia="Times New Roman" w:hAnsi="Calibri" w:cs="Calibri"/>
                <w:color w:val="000000"/>
              </w:rPr>
            </w:pPr>
            <w:r w:rsidRPr="005A7E22">
              <w:rPr>
                <w:rFonts w:ascii="Calibri" w:eastAsia="Times New Roman" w:hAnsi="Calibri" w:cs="Calibri"/>
                <w:color w:val="000000"/>
              </w:rPr>
              <w:t>116.566.976</w:t>
            </w:r>
          </w:p>
        </w:tc>
        <w:tc>
          <w:tcPr>
            <w:tcW w:w="855" w:type="dxa"/>
            <w:tcBorders>
              <w:top w:val="single" w:sz="4" w:space="0" w:color="auto"/>
              <w:left w:val="single" w:sz="4" w:space="0" w:color="auto"/>
              <w:bottom w:val="single" w:sz="4" w:space="0" w:color="auto"/>
              <w:right w:val="single" w:sz="18" w:space="0" w:color="auto"/>
            </w:tcBorders>
            <w:vAlign w:val="center"/>
          </w:tcPr>
          <w:p w:rsidR="005A7E22" w:rsidRPr="005A7E22" w:rsidRDefault="005A7E22" w:rsidP="005A7E22">
            <w:pPr>
              <w:spacing w:after="0" w:line="240" w:lineRule="auto"/>
              <w:jc w:val="center"/>
              <w:rPr>
                <w:rFonts w:ascii="Calibri" w:eastAsia="Times New Roman" w:hAnsi="Calibri" w:cs="Calibri"/>
                <w:color w:val="000000"/>
              </w:rPr>
            </w:pPr>
            <w:r w:rsidRPr="005A7E22">
              <w:rPr>
                <w:rFonts w:ascii="Calibri" w:eastAsia="Times New Roman" w:hAnsi="Calibri" w:cs="Calibri"/>
                <w:color w:val="000000"/>
              </w:rPr>
              <w:t>86</w:t>
            </w:r>
          </w:p>
        </w:tc>
      </w:tr>
      <w:tr w:rsidR="005A7E22" w:rsidRPr="005A7E22" w:rsidTr="00A84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jc w:val="center"/>
        </w:trPr>
        <w:tc>
          <w:tcPr>
            <w:tcW w:w="2521" w:type="dxa"/>
            <w:tcBorders>
              <w:top w:val="single" w:sz="4" w:space="0" w:color="auto"/>
              <w:left w:val="single" w:sz="18" w:space="0" w:color="auto"/>
              <w:bottom w:val="single" w:sz="4" w:space="0" w:color="auto"/>
              <w:right w:val="single" w:sz="18" w:space="0" w:color="auto"/>
            </w:tcBorders>
            <w:vAlign w:val="center"/>
            <w:hideMark/>
          </w:tcPr>
          <w:p w:rsidR="005A7E22" w:rsidRPr="005A7E22" w:rsidRDefault="005A7E22" w:rsidP="005A7E22">
            <w:pPr>
              <w:tabs>
                <w:tab w:val="left" w:pos="3622"/>
              </w:tabs>
              <w:spacing w:after="0" w:line="240" w:lineRule="auto"/>
              <w:jc w:val="center"/>
              <w:rPr>
                <w:rFonts w:ascii="Times New Roman" w:eastAsia="Times New Roman" w:hAnsi="Times New Roman" w:cs="Times New Roman"/>
                <w:b/>
                <w:color w:val="000000"/>
                <w:sz w:val="20"/>
                <w:szCs w:val="20"/>
              </w:rPr>
            </w:pPr>
            <w:r w:rsidRPr="005A7E22">
              <w:rPr>
                <w:rFonts w:ascii="Times New Roman" w:eastAsia="Times New Roman" w:hAnsi="Times New Roman" w:cs="Times New Roman"/>
                <w:b/>
                <w:color w:val="000000"/>
                <w:sz w:val="20"/>
                <w:szCs w:val="20"/>
              </w:rPr>
              <w:t>Рестриктивни поступак-зјн2008, квалификациони поступак-зјн2012</w:t>
            </w:r>
          </w:p>
        </w:tc>
        <w:tc>
          <w:tcPr>
            <w:tcW w:w="2311" w:type="dxa"/>
            <w:tcBorders>
              <w:top w:val="single" w:sz="4" w:space="0" w:color="auto"/>
              <w:left w:val="single" w:sz="18" w:space="0" w:color="auto"/>
              <w:bottom w:val="single" w:sz="4" w:space="0" w:color="auto"/>
              <w:right w:val="single" w:sz="4" w:space="0" w:color="auto"/>
            </w:tcBorders>
            <w:vAlign w:val="center"/>
          </w:tcPr>
          <w:p w:rsidR="005A7E22" w:rsidRPr="005A7E22" w:rsidRDefault="005A7E22" w:rsidP="005A7E22">
            <w:pPr>
              <w:spacing w:after="0" w:line="240" w:lineRule="auto"/>
              <w:jc w:val="center"/>
              <w:rPr>
                <w:rFonts w:ascii="Calibri" w:eastAsia="Times New Roman" w:hAnsi="Calibri" w:cs="Calibri"/>
                <w:color w:val="000000"/>
              </w:rPr>
            </w:pPr>
            <w:r w:rsidRPr="005A7E22">
              <w:rPr>
                <w:rFonts w:ascii="Calibri" w:eastAsia="Times New Roman" w:hAnsi="Calibri" w:cs="Calibri"/>
                <w:color w:val="000000"/>
              </w:rPr>
              <w:t>15.442.716</w:t>
            </w:r>
          </w:p>
        </w:tc>
        <w:tc>
          <w:tcPr>
            <w:tcW w:w="958" w:type="dxa"/>
            <w:tcBorders>
              <w:top w:val="single" w:sz="4" w:space="0" w:color="auto"/>
              <w:left w:val="single" w:sz="4" w:space="0" w:color="auto"/>
              <w:bottom w:val="single" w:sz="4" w:space="0" w:color="auto"/>
              <w:right w:val="single" w:sz="18" w:space="0" w:color="auto"/>
            </w:tcBorders>
            <w:vAlign w:val="center"/>
          </w:tcPr>
          <w:p w:rsidR="005A7E22" w:rsidRPr="005A7E22" w:rsidRDefault="005A7E22" w:rsidP="005A7E22">
            <w:pPr>
              <w:spacing w:after="0" w:line="240" w:lineRule="auto"/>
              <w:jc w:val="center"/>
              <w:rPr>
                <w:rFonts w:ascii="Calibri" w:eastAsia="Times New Roman" w:hAnsi="Calibri" w:cs="Calibri"/>
                <w:color w:val="000000"/>
              </w:rPr>
            </w:pPr>
            <w:r w:rsidRPr="005A7E22">
              <w:rPr>
                <w:rFonts w:ascii="Calibri" w:eastAsia="Times New Roman" w:hAnsi="Calibri" w:cs="Calibri"/>
                <w:color w:val="000000"/>
              </w:rPr>
              <w:t>14</w:t>
            </w:r>
          </w:p>
        </w:tc>
        <w:tc>
          <w:tcPr>
            <w:tcW w:w="2311" w:type="dxa"/>
            <w:tcBorders>
              <w:top w:val="single" w:sz="4" w:space="0" w:color="auto"/>
              <w:left w:val="single" w:sz="18" w:space="0" w:color="auto"/>
              <w:bottom w:val="single" w:sz="4" w:space="0" w:color="auto"/>
              <w:right w:val="single" w:sz="4" w:space="0" w:color="auto"/>
            </w:tcBorders>
            <w:vAlign w:val="center"/>
          </w:tcPr>
          <w:p w:rsidR="005A7E22" w:rsidRPr="005A7E22" w:rsidRDefault="005A7E22" w:rsidP="005A7E22">
            <w:pPr>
              <w:spacing w:after="0" w:line="240" w:lineRule="auto"/>
              <w:jc w:val="center"/>
              <w:rPr>
                <w:rFonts w:ascii="Calibri" w:eastAsia="Times New Roman" w:hAnsi="Calibri" w:cs="Calibri"/>
                <w:color w:val="000000"/>
              </w:rPr>
            </w:pPr>
            <w:r w:rsidRPr="005A7E22">
              <w:rPr>
                <w:rFonts w:ascii="Calibri" w:eastAsia="Times New Roman" w:hAnsi="Calibri" w:cs="Calibri"/>
                <w:color w:val="000000"/>
              </w:rPr>
              <w:t>9.519.329</w:t>
            </w:r>
          </w:p>
        </w:tc>
        <w:tc>
          <w:tcPr>
            <w:tcW w:w="855" w:type="dxa"/>
            <w:tcBorders>
              <w:top w:val="single" w:sz="4" w:space="0" w:color="auto"/>
              <w:left w:val="single" w:sz="4" w:space="0" w:color="auto"/>
              <w:bottom w:val="single" w:sz="4" w:space="0" w:color="auto"/>
              <w:right w:val="single" w:sz="18" w:space="0" w:color="auto"/>
            </w:tcBorders>
            <w:vAlign w:val="center"/>
          </w:tcPr>
          <w:p w:rsidR="005A7E22" w:rsidRPr="005A7E22" w:rsidRDefault="005A7E22" w:rsidP="005A7E22">
            <w:pPr>
              <w:spacing w:after="0" w:line="240" w:lineRule="auto"/>
              <w:jc w:val="center"/>
              <w:rPr>
                <w:rFonts w:ascii="Calibri" w:eastAsia="Times New Roman" w:hAnsi="Calibri" w:cs="Calibri"/>
                <w:color w:val="000000"/>
              </w:rPr>
            </w:pPr>
            <w:r w:rsidRPr="005A7E22">
              <w:rPr>
                <w:rFonts w:ascii="Calibri" w:eastAsia="Times New Roman" w:hAnsi="Calibri" w:cs="Calibri"/>
                <w:color w:val="000000"/>
              </w:rPr>
              <w:t>7</w:t>
            </w:r>
          </w:p>
        </w:tc>
      </w:tr>
      <w:tr w:rsidR="005A7E22" w:rsidRPr="005A7E22" w:rsidTr="00A84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jc w:val="center"/>
        </w:trPr>
        <w:tc>
          <w:tcPr>
            <w:tcW w:w="2521" w:type="dxa"/>
            <w:tcBorders>
              <w:top w:val="single" w:sz="4" w:space="0" w:color="auto"/>
              <w:left w:val="single" w:sz="18" w:space="0" w:color="auto"/>
              <w:bottom w:val="single" w:sz="4" w:space="0" w:color="auto"/>
              <w:right w:val="single" w:sz="18" w:space="0" w:color="auto"/>
            </w:tcBorders>
            <w:vAlign w:val="center"/>
            <w:hideMark/>
          </w:tcPr>
          <w:p w:rsidR="005A7E22" w:rsidRPr="005A7E22" w:rsidRDefault="005A7E22" w:rsidP="005A7E22">
            <w:pPr>
              <w:tabs>
                <w:tab w:val="left" w:pos="3622"/>
              </w:tabs>
              <w:spacing w:after="0" w:line="240" w:lineRule="auto"/>
              <w:jc w:val="center"/>
              <w:rPr>
                <w:rFonts w:ascii="Times New Roman" w:eastAsia="Times New Roman" w:hAnsi="Times New Roman" w:cs="Times New Roman"/>
                <w:b/>
                <w:color w:val="000000"/>
                <w:sz w:val="20"/>
                <w:szCs w:val="20"/>
              </w:rPr>
            </w:pPr>
            <w:r w:rsidRPr="005A7E22">
              <w:rPr>
                <w:rFonts w:ascii="Times New Roman" w:eastAsia="Times New Roman" w:hAnsi="Times New Roman" w:cs="Times New Roman"/>
                <w:b/>
                <w:color w:val="000000"/>
                <w:sz w:val="20"/>
                <w:szCs w:val="20"/>
              </w:rPr>
              <w:t>Рестриктивни поступак-зјн2012</w:t>
            </w:r>
          </w:p>
        </w:tc>
        <w:tc>
          <w:tcPr>
            <w:tcW w:w="2311" w:type="dxa"/>
            <w:tcBorders>
              <w:top w:val="single" w:sz="4" w:space="0" w:color="auto"/>
              <w:left w:val="single" w:sz="18" w:space="0" w:color="auto"/>
              <w:bottom w:val="single" w:sz="4" w:space="0" w:color="auto"/>
              <w:right w:val="single" w:sz="4" w:space="0" w:color="auto"/>
            </w:tcBorders>
            <w:vAlign w:val="center"/>
          </w:tcPr>
          <w:p w:rsidR="005A7E22" w:rsidRPr="005A7E22" w:rsidRDefault="005A7E22" w:rsidP="005A7E22">
            <w:pPr>
              <w:spacing w:after="0" w:line="240" w:lineRule="auto"/>
              <w:jc w:val="center"/>
              <w:rPr>
                <w:rFonts w:ascii="Calibri" w:eastAsia="Times New Roman" w:hAnsi="Calibri" w:cs="Calibri"/>
                <w:color w:val="000000"/>
              </w:rPr>
            </w:pPr>
            <w:r w:rsidRPr="005A7E22">
              <w:rPr>
                <w:rFonts w:ascii="Calibri" w:eastAsia="Times New Roman" w:hAnsi="Calibri" w:cs="Calibri"/>
                <w:color w:val="000000"/>
              </w:rPr>
              <w:t>458.701</w:t>
            </w:r>
          </w:p>
        </w:tc>
        <w:tc>
          <w:tcPr>
            <w:tcW w:w="958" w:type="dxa"/>
            <w:tcBorders>
              <w:top w:val="single" w:sz="4" w:space="0" w:color="auto"/>
              <w:left w:val="single" w:sz="4" w:space="0" w:color="auto"/>
              <w:bottom w:val="single" w:sz="4" w:space="0" w:color="auto"/>
              <w:right w:val="single" w:sz="18" w:space="0" w:color="auto"/>
            </w:tcBorders>
            <w:vAlign w:val="center"/>
          </w:tcPr>
          <w:p w:rsidR="005A7E22" w:rsidRPr="005A7E22" w:rsidRDefault="005A7E22" w:rsidP="005A7E22">
            <w:pPr>
              <w:spacing w:after="0" w:line="240" w:lineRule="auto"/>
              <w:jc w:val="center"/>
              <w:rPr>
                <w:rFonts w:ascii="Calibri" w:eastAsia="Times New Roman" w:hAnsi="Calibri" w:cs="Calibri"/>
                <w:color w:val="000000"/>
              </w:rPr>
            </w:pPr>
            <w:r w:rsidRPr="005A7E22">
              <w:rPr>
                <w:rFonts w:ascii="Calibri" w:eastAsia="Times New Roman" w:hAnsi="Calibri" w:cs="Calibri"/>
                <w:color w:val="000000"/>
              </w:rPr>
              <w:t>0</w:t>
            </w:r>
          </w:p>
        </w:tc>
        <w:tc>
          <w:tcPr>
            <w:tcW w:w="2311" w:type="dxa"/>
            <w:tcBorders>
              <w:top w:val="single" w:sz="4" w:space="0" w:color="auto"/>
              <w:left w:val="single" w:sz="18" w:space="0" w:color="auto"/>
              <w:bottom w:val="single" w:sz="4" w:space="0" w:color="auto"/>
              <w:right w:val="single" w:sz="4" w:space="0" w:color="auto"/>
            </w:tcBorders>
            <w:vAlign w:val="center"/>
          </w:tcPr>
          <w:p w:rsidR="005A7E22" w:rsidRPr="005A7E22" w:rsidRDefault="005A7E22" w:rsidP="005A7E22">
            <w:pPr>
              <w:spacing w:after="0" w:line="240" w:lineRule="auto"/>
              <w:jc w:val="center"/>
              <w:rPr>
                <w:rFonts w:ascii="Calibri" w:eastAsia="Times New Roman" w:hAnsi="Calibri" w:cs="Calibri"/>
                <w:color w:val="000000"/>
              </w:rPr>
            </w:pPr>
            <w:r w:rsidRPr="005A7E22">
              <w:rPr>
                <w:rFonts w:ascii="Calibri" w:eastAsia="Times New Roman" w:hAnsi="Calibri" w:cs="Calibri"/>
                <w:color w:val="000000"/>
              </w:rPr>
              <w:t>128.559</w:t>
            </w:r>
          </w:p>
        </w:tc>
        <w:tc>
          <w:tcPr>
            <w:tcW w:w="855" w:type="dxa"/>
            <w:tcBorders>
              <w:top w:val="single" w:sz="4" w:space="0" w:color="auto"/>
              <w:left w:val="single" w:sz="4" w:space="0" w:color="auto"/>
              <w:bottom w:val="single" w:sz="4" w:space="0" w:color="auto"/>
              <w:right w:val="single" w:sz="18" w:space="0" w:color="auto"/>
            </w:tcBorders>
            <w:vAlign w:val="center"/>
          </w:tcPr>
          <w:p w:rsidR="005A7E22" w:rsidRPr="005A7E22" w:rsidRDefault="005A7E22" w:rsidP="005A7E22">
            <w:pPr>
              <w:spacing w:after="0" w:line="240" w:lineRule="auto"/>
              <w:jc w:val="center"/>
              <w:rPr>
                <w:rFonts w:ascii="Calibri" w:eastAsia="Times New Roman" w:hAnsi="Calibri" w:cs="Calibri"/>
                <w:color w:val="000000"/>
              </w:rPr>
            </w:pPr>
            <w:r w:rsidRPr="005A7E22">
              <w:rPr>
                <w:rFonts w:ascii="Calibri" w:eastAsia="Times New Roman" w:hAnsi="Calibri" w:cs="Calibri"/>
                <w:color w:val="000000"/>
              </w:rPr>
              <w:t>0</w:t>
            </w:r>
          </w:p>
        </w:tc>
      </w:tr>
      <w:tr w:rsidR="005A7E22" w:rsidRPr="005A7E22" w:rsidTr="00A84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jc w:val="center"/>
        </w:trPr>
        <w:tc>
          <w:tcPr>
            <w:tcW w:w="2521" w:type="dxa"/>
            <w:tcBorders>
              <w:top w:val="single" w:sz="4" w:space="0" w:color="auto"/>
              <w:left w:val="single" w:sz="18" w:space="0" w:color="auto"/>
              <w:bottom w:val="single" w:sz="4" w:space="0" w:color="auto"/>
              <w:right w:val="single" w:sz="18" w:space="0" w:color="auto"/>
            </w:tcBorders>
            <w:vAlign w:val="center"/>
            <w:hideMark/>
          </w:tcPr>
          <w:p w:rsidR="005A7E22" w:rsidRPr="005A7E22" w:rsidRDefault="005A7E22" w:rsidP="005A7E22">
            <w:pPr>
              <w:tabs>
                <w:tab w:val="left" w:pos="3622"/>
              </w:tabs>
              <w:spacing w:after="0" w:line="240" w:lineRule="auto"/>
              <w:jc w:val="center"/>
              <w:rPr>
                <w:rFonts w:ascii="Times New Roman" w:eastAsia="Times New Roman" w:hAnsi="Times New Roman" w:cs="Times New Roman"/>
                <w:b/>
                <w:color w:val="000000"/>
                <w:sz w:val="20"/>
                <w:szCs w:val="20"/>
              </w:rPr>
            </w:pPr>
            <w:r w:rsidRPr="005A7E22">
              <w:rPr>
                <w:rFonts w:ascii="Times New Roman" w:eastAsia="Times New Roman" w:hAnsi="Times New Roman" w:cs="Times New Roman"/>
                <w:b/>
                <w:color w:val="000000"/>
                <w:sz w:val="20"/>
                <w:szCs w:val="20"/>
              </w:rPr>
              <w:t>Преговарачки поступак без објављивања јавног позива(зјн2008+зјн2012)</w:t>
            </w:r>
          </w:p>
        </w:tc>
        <w:tc>
          <w:tcPr>
            <w:tcW w:w="2311" w:type="dxa"/>
            <w:tcBorders>
              <w:top w:val="single" w:sz="4" w:space="0" w:color="auto"/>
              <w:left w:val="single" w:sz="18" w:space="0" w:color="auto"/>
              <w:bottom w:val="single" w:sz="4" w:space="0" w:color="auto"/>
              <w:right w:val="single" w:sz="4" w:space="0" w:color="auto"/>
            </w:tcBorders>
            <w:vAlign w:val="center"/>
          </w:tcPr>
          <w:p w:rsidR="005A7E22" w:rsidRPr="005A7E22" w:rsidRDefault="005A7E22" w:rsidP="005A7E22">
            <w:pPr>
              <w:spacing w:after="0" w:line="240" w:lineRule="auto"/>
              <w:jc w:val="center"/>
              <w:rPr>
                <w:rFonts w:ascii="Calibri" w:eastAsia="Times New Roman" w:hAnsi="Calibri" w:cs="Calibri"/>
                <w:color w:val="000000"/>
              </w:rPr>
            </w:pPr>
            <w:r w:rsidRPr="005A7E22">
              <w:rPr>
                <w:rFonts w:ascii="Calibri" w:eastAsia="Times New Roman" w:hAnsi="Calibri" w:cs="Calibri"/>
                <w:color w:val="000000"/>
              </w:rPr>
              <w:t>26.805.367</w:t>
            </w:r>
          </w:p>
        </w:tc>
        <w:tc>
          <w:tcPr>
            <w:tcW w:w="958" w:type="dxa"/>
            <w:tcBorders>
              <w:top w:val="single" w:sz="4" w:space="0" w:color="auto"/>
              <w:left w:val="single" w:sz="4" w:space="0" w:color="auto"/>
              <w:bottom w:val="single" w:sz="4" w:space="0" w:color="auto"/>
              <w:right w:val="single" w:sz="18" w:space="0" w:color="auto"/>
            </w:tcBorders>
            <w:vAlign w:val="center"/>
          </w:tcPr>
          <w:p w:rsidR="005A7E22" w:rsidRPr="005A7E22" w:rsidRDefault="005A7E22" w:rsidP="005A7E22">
            <w:pPr>
              <w:spacing w:after="0" w:line="240" w:lineRule="auto"/>
              <w:jc w:val="center"/>
              <w:rPr>
                <w:rFonts w:ascii="Calibri" w:eastAsia="Times New Roman" w:hAnsi="Calibri" w:cs="Calibri"/>
                <w:color w:val="000000"/>
              </w:rPr>
            </w:pPr>
            <w:r w:rsidRPr="005A7E22">
              <w:rPr>
                <w:rFonts w:ascii="Calibri" w:eastAsia="Times New Roman" w:hAnsi="Calibri" w:cs="Calibri"/>
                <w:color w:val="000000"/>
              </w:rPr>
              <w:t>24</w:t>
            </w:r>
          </w:p>
        </w:tc>
        <w:tc>
          <w:tcPr>
            <w:tcW w:w="2311" w:type="dxa"/>
            <w:tcBorders>
              <w:top w:val="single" w:sz="4" w:space="0" w:color="auto"/>
              <w:left w:val="single" w:sz="18" w:space="0" w:color="auto"/>
              <w:bottom w:val="single" w:sz="4" w:space="0" w:color="auto"/>
              <w:right w:val="single" w:sz="4" w:space="0" w:color="auto"/>
            </w:tcBorders>
            <w:vAlign w:val="center"/>
          </w:tcPr>
          <w:p w:rsidR="005A7E22" w:rsidRPr="005A7E22" w:rsidRDefault="005A7E22" w:rsidP="005A7E22">
            <w:pPr>
              <w:spacing w:after="0" w:line="240" w:lineRule="auto"/>
              <w:jc w:val="center"/>
              <w:rPr>
                <w:rFonts w:ascii="Calibri" w:eastAsia="Times New Roman" w:hAnsi="Calibri" w:cs="Calibri"/>
                <w:color w:val="000000"/>
              </w:rPr>
            </w:pPr>
            <w:r w:rsidRPr="005A7E22">
              <w:rPr>
                <w:rFonts w:ascii="Calibri" w:eastAsia="Times New Roman" w:hAnsi="Calibri" w:cs="Calibri"/>
                <w:color w:val="000000"/>
              </w:rPr>
              <w:t>5.186.486</w:t>
            </w:r>
          </w:p>
        </w:tc>
        <w:tc>
          <w:tcPr>
            <w:tcW w:w="855" w:type="dxa"/>
            <w:tcBorders>
              <w:top w:val="single" w:sz="4" w:space="0" w:color="auto"/>
              <w:left w:val="single" w:sz="4" w:space="0" w:color="auto"/>
              <w:bottom w:val="single" w:sz="4" w:space="0" w:color="auto"/>
              <w:right w:val="single" w:sz="18" w:space="0" w:color="auto"/>
            </w:tcBorders>
            <w:vAlign w:val="center"/>
          </w:tcPr>
          <w:p w:rsidR="005A7E22" w:rsidRPr="005A7E22" w:rsidRDefault="005A7E22" w:rsidP="005A7E22">
            <w:pPr>
              <w:spacing w:after="0" w:line="240" w:lineRule="auto"/>
              <w:jc w:val="center"/>
              <w:rPr>
                <w:rFonts w:ascii="Calibri" w:eastAsia="Times New Roman" w:hAnsi="Calibri" w:cs="Calibri"/>
                <w:color w:val="000000"/>
              </w:rPr>
            </w:pPr>
            <w:r w:rsidRPr="005A7E22">
              <w:rPr>
                <w:rFonts w:ascii="Calibri" w:eastAsia="Times New Roman" w:hAnsi="Calibri" w:cs="Calibri"/>
                <w:color w:val="000000"/>
              </w:rPr>
              <w:t>4</w:t>
            </w:r>
          </w:p>
        </w:tc>
      </w:tr>
      <w:tr w:rsidR="005A7E22" w:rsidRPr="005A7E22" w:rsidTr="00A84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jc w:val="center"/>
        </w:trPr>
        <w:tc>
          <w:tcPr>
            <w:tcW w:w="2521" w:type="dxa"/>
            <w:tcBorders>
              <w:top w:val="single" w:sz="4" w:space="0" w:color="auto"/>
              <w:left w:val="single" w:sz="18" w:space="0" w:color="auto"/>
              <w:bottom w:val="single" w:sz="4" w:space="0" w:color="auto"/>
              <w:right w:val="single" w:sz="18" w:space="0" w:color="auto"/>
            </w:tcBorders>
            <w:vAlign w:val="center"/>
            <w:hideMark/>
          </w:tcPr>
          <w:p w:rsidR="005A7E22" w:rsidRPr="005A7E22" w:rsidRDefault="005A7E22" w:rsidP="005A7E22">
            <w:pPr>
              <w:tabs>
                <w:tab w:val="left" w:pos="3622"/>
              </w:tabs>
              <w:spacing w:after="0" w:line="240" w:lineRule="auto"/>
              <w:jc w:val="center"/>
              <w:rPr>
                <w:rFonts w:ascii="Times New Roman" w:eastAsia="Times New Roman" w:hAnsi="Times New Roman" w:cs="Times New Roman"/>
                <w:b/>
                <w:color w:val="000000"/>
                <w:sz w:val="20"/>
                <w:szCs w:val="20"/>
              </w:rPr>
            </w:pPr>
            <w:r w:rsidRPr="005A7E22">
              <w:rPr>
                <w:rFonts w:ascii="Times New Roman" w:eastAsia="Times New Roman" w:hAnsi="Times New Roman" w:cs="Times New Roman"/>
                <w:b/>
                <w:color w:val="000000"/>
                <w:sz w:val="20"/>
                <w:szCs w:val="20"/>
              </w:rPr>
              <w:t>Преговарачки поступак са објављивањем јавног позива (зјн2008+зјн2012)</w:t>
            </w:r>
          </w:p>
        </w:tc>
        <w:tc>
          <w:tcPr>
            <w:tcW w:w="2311" w:type="dxa"/>
            <w:tcBorders>
              <w:top w:val="single" w:sz="4" w:space="0" w:color="auto"/>
              <w:left w:val="single" w:sz="18" w:space="0" w:color="auto"/>
              <w:bottom w:val="single" w:sz="4" w:space="0" w:color="auto"/>
              <w:right w:val="single" w:sz="4" w:space="0" w:color="auto"/>
            </w:tcBorders>
            <w:vAlign w:val="center"/>
          </w:tcPr>
          <w:p w:rsidR="005A7E22" w:rsidRPr="005A7E22" w:rsidRDefault="005A7E22" w:rsidP="005A7E22">
            <w:pPr>
              <w:spacing w:after="0" w:line="240" w:lineRule="auto"/>
              <w:jc w:val="center"/>
              <w:rPr>
                <w:rFonts w:ascii="Calibri" w:eastAsia="Times New Roman" w:hAnsi="Calibri" w:cs="Calibri"/>
                <w:color w:val="000000"/>
              </w:rPr>
            </w:pPr>
            <w:r w:rsidRPr="005A7E22">
              <w:rPr>
                <w:rFonts w:ascii="Calibri" w:eastAsia="Times New Roman" w:hAnsi="Calibri" w:cs="Calibri"/>
                <w:color w:val="000000"/>
              </w:rPr>
              <w:t>9.862.901</w:t>
            </w:r>
          </w:p>
        </w:tc>
        <w:tc>
          <w:tcPr>
            <w:tcW w:w="958" w:type="dxa"/>
            <w:tcBorders>
              <w:top w:val="single" w:sz="4" w:space="0" w:color="auto"/>
              <w:left w:val="single" w:sz="4" w:space="0" w:color="auto"/>
              <w:bottom w:val="single" w:sz="4" w:space="0" w:color="auto"/>
              <w:right w:val="single" w:sz="18" w:space="0" w:color="auto"/>
            </w:tcBorders>
            <w:vAlign w:val="center"/>
          </w:tcPr>
          <w:p w:rsidR="005A7E22" w:rsidRPr="005A7E22" w:rsidRDefault="005A7E22" w:rsidP="005A7E22">
            <w:pPr>
              <w:spacing w:after="0" w:line="240" w:lineRule="auto"/>
              <w:jc w:val="center"/>
              <w:rPr>
                <w:rFonts w:ascii="Calibri" w:eastAsia="Times New Roman" w:hAnsi="Calibri" w:cs="Calibri"/>
                <w:color w:val="000000"/>
              </w:rPr>
            </w:pPr>
            <w:r w:rsidRPr="005A7E22">
              <w:rPr>
                <w:rFonts w:ascii="Calibri" w:eastAsia="Times New Roman" w:hAnsi="Calibri" w:cs="Calibri"/>
                <w:color w:val="000000"/>
              </w:rPr>
              <w:t>8</w:t>
            </w:r>
          </w:p>
        </w:tc>
        <w:tc>
          <w:tcPr>
            <w:tcW w:w="2311" w:type="dxa"/>
            <w:tcBorders>
              <w:top w:val="single" w:sz="4" w:space="0" w:color="auto"/>
              <w:left w:val="single" w:sz="18" w:space="0" w:color="auto"/>
              <w:bottom w:val="single" w:sz="4" w:space="0" w:color="auto"/>
              <w:right w:val="single" w:sz="4" w:space="0" w:color="auto"/>
            </w:tcBorders>
            <w:vAlign w:val="center"/>
          </w:tcPr>
          <w:p w:rsidR="005A7E22" w:rsidRPr="005A7E22" w:rsidRDefault="005A7E22" w:rsidP="005A7E22">
            <w:pPr>
              <w:spacing w:after="0" w:line="240" w:lineRule="auto"/>
              <w:jc w:val="center"/>
              <w:rPr>
                <w:rFonts w:ascii="Calibri" w:eastAsia="Times New Roman" w:hAnsi="Calibri" w:cs="Calibri"/>
                <w:color w:val="000000"/>
              </w:rPr>
            </w:pPr>
            <w:r w:rsidRPr="005A7E22">
              <w:rPr>
                <w:rFonts w:ascii="Calibri" w:eastAsia="Times New Roman" w:hAnsi="Calibri" w:cs="Calibri"/>
                <w:color w:val="000000"/>
              </w:rPr>
              <w:t>4.603.020</w:t>
            </w:r>
          </w:p>
        </w:tc>
        <w:tc>
          <w:tcPr>
            <w:tcW w:w="855" w:type="dxa"/>
            <w:tcBorders>
              <w:top w:val="single" w:sz="4" w:space="0" w:color="auto"/>
              <w:left w:val="single" w:sz="4" w:space="0" w:color="auto"/>
              <w:bottom w:val="single" w:sz="4" w:space="0" w:color="auto"/>
              <w:right w:val="single" w:sz="18" w:space="0" w:color="auto"/>
            </w:tcBorders>
            <w:vAlign w:val="center"/>
          </w:tcPr>
          <w:p w:rsidR="005A7E22" w:rsidRPr="005A7E22" w:rsidRDefault="005A7E22" w:rsidP="005A7E22">
            <w:pPr>
              <w:spacing w:after="0" w:line="240" w:lineRule="auto"/>
              <w:jc w:val="center"/>
              <w:rPr>
                <w:rFonts w:ascii="Calibri" w:eastAsia="Times New Roman" w:hAnsi="Calibri" w:cs="Calibri"/>
                <w:color w:val="000000"/>
              </w:rPr>
            </w:pPr>
            <w:r w:rsidRPr="005A7E22">
              <w:rPr>
                <w:rFonts w:ascii="Calibri" w:eastAsia="Times New Roman" w:hAnsi="Calibri" w:cs="Calibri"/>
                <w:color w:val="000000"/>
              </w:rPr>
              <w:t>3</w:t>
            </w:r>
          </w:p>
        </w:tc>
      </w:tr>
      <w:tr w:rsidR="005A7E22" w:rsidRPr="005A7E22" w:rsidTr="00A84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jc w:val="center"/>
        </w:trPr>
        <w:tc>
          <w:tcPr>
            <w:tcW w:w="2521" w:type="dxa"/>
            <w:tcBorders>
              <w:top w:val="single" w:sz="4" w:space="0" w:color="auto"/>
              <w:left w:val="single" w:sz="18" w:space="0" w:color="auto"/>
              <w:bottom w:val="single" w:sz="4" w:space="0" w:color="auto"/>
              <w:right w:val="single" w:sz="18" w:space="0" w:color="auto"/>
            </w:tcBorders>
            <w:vAlign w:val="center"/>
            <w:hideMark/>
          </w:tcPr>
          <w:p w:rsidR="005A7E22" w:rsidRPr="005A7E22" w:rsidRDefault="005A7E22" w:rsidP="005A7E22">
            <w:pPr>
              <w:tabs>
                <w:tab w:val="left" w:pos="3622"/>
              </w:tabs>
              <w:spacing w:after="0" w:line="240" w:lineRule="auto"/>
              <w:jc w:val="center"/>
              <w:rPr>
                <w:rFonts w:ascii="Times New Roman" w:eastAsia="Times New Roman" w:hAnsi="Times New Roman" w:cs="Times New Roman"/>
                <w:b/>
                <w:color w:val="000000"/>
                <w:sz w:val="20"/>
                <w:szCs w:val="20"/>
              </w:rPr>
            </w:pPr>
            <w:r w:rsidRPr="005A7E22">
              <w:rPr>
                <w:rFonts w:ascii="Times New Roman" w:eastAsia="Times New Roman" w:hAnsi="Times New Roman" w:cs="Times New Roman"/>
                <w:b/>
                <w:color w:val="000000"/>
                <w:sz w:val="20"/>
                <w:szCs w:val="20"/>
              </w:rPr>
              <w:t>Конкурс за дизајн (зјн2008+зјн2012)</w:t>
            </w:r>
          </w:p>
        </w:tc>
        <w:tc>
          <w:tcPr>
            <w:tcW w:w="2311" w:type="dxa"/>
            <w:tcBorders>
              <w:top w:val="single" w:sz="4" w:space="0" w:color="auto"/>
              <w:left w:val="single" w:sz="18" w:space="0" w:color="auto"/>
              <w:bottom w:val="single" w:sz="4" w:space="0" w:color="auto"/>
              <w:right w:val="single" w:sz="4" w:space="0" w:color="auto"/>
            </w:tcBorders>
            <w:vAlign w:val="center"/>
          </w:tcPr>
          <w:p w:rsidR="005A7E22" w:rsidRPr="005A7E22" w:rsidRDefault="005A7E22" w:rsidP="005A7E22">
            <w:pPr>
              <w:spacing w:after="0" w:line="240" w:lineRule="auto"/>
              <w:jc w:val="center"/>
              <w:rPr>
                <w:rFonts w:ascii="Calibri" w:eastAsia="Times New Roman" w:hAnsi="Calibri" w:cs="Calibri"/>
                <w:color w:val="000000"/>
              </w:rPr>
            </w:pPr>
            <w:r w:rsidRPr="005A7E22">
              <w:rPr>
                <w:rFonts w:ascii="Calibri" w:eastAsia="Times New Roman" w:hAnsi="Calibri" w:cs="Calibri"/>
                <w:color w:val="000000"/>
              </w:rPr>
              <w:t>6.999</w:t>
            </w:r>
          </w:p>
        </w:tc>
        <w:tc>
          <w:tcPr>
            <w:tcW w:w="958" w:type="dxa"/>
            <w:tcBorders>
              <w:top w:val="single" w:sz="4" w:space="0" w:color="auto"/>
              <w:left w:val="single" w:sz="4" w:space="0" w:color="auto"/>
              <w:bottom w:val="single" w:sz="4" w:space="0" w:color="auto"/>
              <w:right w:val="single" w:sz="18" w:space="0" w:color="auto"/>
            </w:tcBorders>
            <w:vAlign w:val="center"/>
          </w:tcPr>
          <w:p w:rsidR="005A7E22" w:rsidRPr="005A7E22" w:rsidRDefault="005A7E22" w:rsidP="005A7E22">
            <w:pPr>
              <w:spacing w:after="0" w:line="240" w:lineRule="auto"/>
              <w:jc w:val="center"/>
              <w:rPr>
                <w:rFonts w:ascii="Calibri" w:eastAsia="Times New Roman" w:hAnsi="Calibri" w:cs="Calibri"/>
                <w:color w:val="000000"/>
              </w:rPr>
            </w:pPr>
            <w:r w:rsidRPr="005A7E22">
              <w:rPr>
                <w:rFonts w:ascii="Calibri" w:eastAsia="Times New Roman" w:hAnsi="Calibri" w:cs="Calibri"/>
                <w:color w:val="000000"/>
              </w:rPr>
              <w:t>0</w:t>
            </w:r>
          </w:p>
        </w:tc>
        <w:tc>
          <w:tcPr>
            <w:tcW w:w="2311" w:type="dxa"/>
            <w:tcBorders>
              <w:top w:val="single" w:sz="4" w:space="0" w:color="auto"/>
              <w:left w:val="single" w:sz="18" w:space="0" w:color="auto"/>
              <w:bottom w:val="single" w:sz="4" w:space="0" w:color="auto"/>
              <w:right w:val="single" w:sz="4" w:space="0" w:color="auto"/>
            </w:tcBorders>
            <w:vAlign w:val="center"/>
          </w:tcPr>
          <w:p w:rsidR="005A7E22" w:rsidRPr="005A7E22" w:rsidRDefault="005A7E22" w:rsidP="005A7E22">
            <w:pPr>
              <w:spacing w:after="0" w:line="240" w:lineRule="auto"/>
              <w:jc w:val="center"/>
              <w:rPr>
                <w:rFonts w:ascii="Calibri" w:eastAsia="Times New Roman" w:hAnsi="Calibri" w:cs="Calibri"/>
                <w:color w:val="000000"/>
              </w:rPr>
            </w:pPr>
            <w:r w:rsidRPr="005A7E22">
              <w:rPr>
                <w:rFonts w:ascii="Calibri" w:eastAsia="Times New Roman" w:hAnsi="Calibri" w:cs="Calibri"/>
                <w:color w:val="000000"/>
              </w:rPr>
              <w:t>4.938</w:t>
            </w:r>
          </w:p>
        </w:tc>
        <w:tc>
          <w:tcPr>
            <w:tcW w:w="855" w:type="dxa"/>
            <w:tcBorders>
              <w:top w:val="single" w:sz="4" w:space="0" w:color="auto"/>
              <w:left w:val="single" w:sz="4" w:space="0" w:color="auto"/>
              <w:bottom w:val="single" w:sz="4" w:space="0" w:color="auto"/>
              <w:right w:val="single" w:sz="18" w:space="0" w:color="auto"/>
            </w:tcBorders>
            <w:vAlign w:val="center"/>
          </w:tcPr>
          <w:p w:rsidR="005A7E22" w:rsidRPr="005A7E22" w:rsidRDefault="005A7E22" w:rsidP="005A7E22">
            <w:pPr>
              <w:spacing w:after="0" w:line="240" w:lineRule="auto"/>
              <w:jc w:val="center"/>
              <w:rPr>
                <w:rFonts w:ascii="Calibri" w:eastAsia="Times New Roman" w:hAnsi="Calibri" w:cs="Calibri"/>
                <w:color w:val="000000"/>
              </w:rPr>
            </w:pPr>
            <w:r w:rsidRPr="005A7E22">
              <w:rPr>
                <w:rFonts w:ascii="Calibri" w:eastAsia="Times New Roman" w:hAnsi="Calibri" w:cs="Calibri"/>
                <w:color w:val="000000"/>
              </w:rPr>
              <w:t>0</w:t>
            </w:r>
          </w:p>
        </w:tc>
      </w:tr>
      <w:tr w:rsidR="005A7E22" w:rsidRPr="005A7E22" w:rsidTr="00A8404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jc w:val="center"/>
        </w:trPr>
        <w:tc>
          <w:tcPr>
            <w:tcW w:w="2521" w:type="dxa"/>
            <w:tcBorders>
              <w:top w:val="single" w:sz="4" w:space="0" w:color="auto"/>
              <w:left w:val="single" w:sz="18" w:space="0" w:color="auto"/>
              <w:bottom w:val="single" w:sz="18" w:space="0" w:color="auto"/>
              <w:right w:val="single" w:sz="18" w:space="0" w:color="auto"/>
            </w:tcBorders>
            <w:vAlign w:val="center"/>
            <w:hideMark/>
          </w:tcPr>
          <w:p w:rsidR="005A7E22" w:rsidRPr="005A7E22" w:rsidRDefault="005A7E22" w:rsidP="005A7E22">
            <w:pPr>
              <w:tabs>
                <w:tab w:val="left" w:pos="1885"/>
              </w:tabs>
              <w:spacing w:after="0" w:line="240" w:lineRule="auto"/>
              <w:jc w:val="center"/>
              <w:rPr>
                <w:rFonts w:ascii="Times New Roman" w:eastAsia="Times New Roman" w:hAnsi="Times New Roman" w:cs="Times New Roman"/>
                <w:b/>
                <w:color w:val="000000"/>
                <w:sz w:val="20"/>
                <w:szCs w:val="20"/>
              </w:rPr>
            </w:pPr>
            <w:r w:rsidRPr="005A7E22">
              <w:rPr>
                <w:rFonts w:ascii="Times New Roman" w:eastAsia="Times New Roman" w:hAnsi="Times New Roman" w:cs="Times New Roman"/>
                <w:b/>
                <w:color w:val="000000"/>
                <w:sz w:val="20"/>
                <w:szCs w:val="20"/>
              </w:rPr>
              <w:t>Укупно</w:t>
            </w:r>
          </w:p>
        </w:tc>
        <w:tc>
          <w:tcPr>
            <w:tcW w:w="2311" w:type="dxa"/>
            <w:tcBorders>
              <w:top w:val="single" w:sz="4" w:space="0" w:color="auto"/>
              <w:left w:val="single" w:sz="18" w:space="0" w:color="auto"/>
              <w:bottom w:val="single" w:sz="18" w:space="0" w:color="auto"/>
              <w:right w:val="single" w:sz="4" w:space="0" w:color="auto"/>
            </w:tcBorders>
            <w:vAlign w:val="center"/>
          </w:tcPr>
          <w:p w:rsidR="005A7E22" w:rsidRPr="005A7E22" w:rsidRDefault="005A7E22" w:rsidP="005A7E22">
            <w:pPr>
              <w:spacing w:after="0" w:line="240" w:lineRule="auto"/>
              <w:jc w:val="center"/>
              <w:rPr>
                <w:rFonts w:ascii="Calibri" w:eastAsia="Times New Roman" w:hAnsi="Calibri" w:cs="Calibri"/>
                <w:b/>
                <w:color w:val="000000"/>
              </w:rPr>
            </w:pPr>
            <w:r w:rsidRPr="005A7E22">
              <w:rPr>
                <w:rFonts w:ascii="Calibri" w:eastAsia="Times New Roman" w:hAnsi="Calibri" w:cs="Calibri"/>
                <w:b/>
                <w:color w:val="000000"/>
              </w:rPr>
              <w:t>113.711.500</w:t>
            </w:r>
          </w:p>
        </w:tc>
        <w:tc>
          <w:tcPr>
            <w:tcW w:w="958" w:type="dxa"/>
            <w:tcBorders>
              <w:top w:val="single" w:sz="4" w:space="0" w:color="auto"/>
              <w:left w:val="single" w:sz="4" w:space="0" w:color="auto"/>
              <w:bottom w:val="single" w:sz="18" w:space="0" w:color="auto"/>
              <w:right w:val="single" w:sz="18" w:space="0" w:color="auto"/>
            </w:tcBorders>
            <w:vAlign w:val="center"/>
          </w:tcPr>
          <w:p w:rsidR="005A7E22" w:rsidRPr="005A7E22" w:rsidRDefault="005A7E22" w:rsidP="005A7E22">
            <w:pPr>
              <w:spacing w:after="0" w:line="240" w:lineRule="auto"/>
              <w:jc w:val="center"/>
              <w:rPr>
                <w:rFonts w:ascii="Calibri" w:eastAsia="Times New Roman" w:hAnsi="Calibri" w:cs="Calibri"/>
                <w:b/>
                <w:color w:val="000000"/>
              </w:rPr>
            </w:pPr>
            <w:r w:rsidRPr="005A7E22">
              <w:rPr>
                <w:rFonts w:ascii="Calibri" w:eastAsia="Times New Roman" w:hAnsi="Calibri" w:cs="Calibri"/>
                <w:b/>
                <w:color w:val="000000"/>
              </w:rPr>
              <w:t>100</w:t>
            </w:r>
          </w:p>
        </w:tc>
        <w:tc>
          <w:tcPr>
            <w:tcW w:w="2311" w:type="dxa"/>
            <w:tcBorders>
              <w:top w:val="single" w:sz="4" w:space="0" w:color="auto"/>
              <w:left w:val="single" w:sz="18" w:space="0" w:color="auto"/>
              <w:bottom w:val="single" w:sz="18" w:space="0" w:color="auto"/>
              <w:right w:val="single" w:sz="4" w:space="0" w:color="auto"/>
            </w:tcBorders>
            <w:vAlign w:val="center"/>
          </w:tcPr>
          <w:p w:rsidR="005A7E22" w:rsidRPr="005A7E22" w:rsidRDefault="005A7E22" w:rsidP="005A7E22">
            <w:pPr>
              <w:spacing w:after="0" w:line="240" w:lineRule="auto"/>
              <w:jc w:val="center"/>
              <w:rPr>
                <w:rFonts w:ascii="Calibri" w:eastAsia="Times New Roman" w:hAnsi="Calibri" w:cs="Calibri"/>
                <w:b/>
                <w:color w:val="000000"/>
              </w:rPr>
            </w:pPr>
            <w:r w:rsidRPr="005A7E22">
              <w:rPr>
                <w:rFonts w:ascii="Calibri" w:eastAsia="Times New Roman" w:hAnsi="Calibri" w:cs="Calibri"/>
                <w:b/>
                <w:color w:val="000000"/>
              </w:rPr>
              <w:t>136.009.308</w:t>
            </w:r>
          </w:p>
        </w:tc>
        <w:tc>
          <w:tcPr>
            <w:tcW w:w="855" w:type="dxa"/>
            <w:tcBorders>
              <w:top w:val="single" w:sz="4" w:space="0" w:color="auto"/>
              <w:left w:val="single" w:sz="4" w:space="0" w:color="auto"/>
              <w:bottom w:val="single" w:sz="18" w:space="0" w:color="auto"/>
              <w:right w:val="single" w:sz="18" w:space="0" w:color="auto"/>
            </w:tcBorders>
            <w:vAlign w:val="center"/>
          </w:tcPr>
          <w:p w:rsidR="005A7E22" w:rsidRPr="005A7E22" w:rsidRDefault="005A7E22" w:rsidP="005A7E22">
            <w:pPr>
              <w:spacing w:after="0" w:line="240" w:lineRule="auto"/>
              <w:jc w:val="center"/>
              <w:rPr>
                <w:rFonts w:ascii="Calibri" w:eastAsia="Times New Roman" w:hAnsi="Calibri" w:cs="Calibri"/>
                <w:b/>
                <w:color w:val="000000"/>
              </w:rPr>
            </w:pPr>
            <w:r w:rsidRPr="005A7E22">
              <w:rPr>
                <w:rFonts w:ascii="Calibri" w:eastAsia="Times New Roman" w:hAnsi="Calibri" w:cs="Calibri"/>
                <w:b/>
                <w:color w:val="000000"/>
              </w:rPr>
              <w:t>100</w:t>
            </w:r>
          </w:p>
        </w:tc>
      </w:tr>
    </w:tbl>
    <w:p w:rsidR="002C47F0" w:rsidRPr="002C47F0" w:rsidRDefault="002C47F0" w:rsidP="009965E9">
      <w:pPr>
        <w:jc w:val="both"/>
        <w:rPr>
          <w:rFonts w:ascii="Times New Roman" w:hAnsi="Times New Roman" w:cs="Times New Roman"/>
          <w:b/>
          <w:sz w:val="24"/>
          <w:szCs w:val="24"/>
          <w:lang w:val="sr-Cyrl-CS"/>
        </w:rPr>
      </w:pPr>
    </w:p>
    <w:p w:rsidR="0000737D" w:rsidRDefault="00A330BA" w:rsidP="00EE01E7">
      <w:pPr>
        <w:jc w:val="both"/>
        <w:rPr>
          <w:rFonts w:ascii="Times New Roman" w:hAnsi="Times New Roman" w:cs="Times New Roman"/>
          <w:sz w:val="24"/>
          <w:szCs w:val="24"/>
        </w:rPr>
      </w:pPr>
      <w:r w:rsidRPr="00A330BA">
        <w:rPr>
          <w:rFonts w:ascii="Times New Roman" w:hAnsi="Times New Roman" w:cs="Times New Roman"/>
          <w:sz w:val="24"/>
          <w:szCs w:val="24"/>
        </w:rPr>
        <w:t xml:space="preserve">Подаци из </w:t>
      </w:r>
      <w:r w:rsidR="00794103">
        <w:rPr>
          <w:rFonts w:ascii="Times New Roman" w:hAnsi="Times New Roman" w:cs="Times New Roman"/>
          <w:sz w:val="24"/>
          <w:szCs w:val="24"/>
          <w:lang w:val="sr-Cyrl-RS"/>
        </w:rPr>
        <w:t>Та</w:t>
      </w:r>
      <w:r w:rsidRPr="00794103">
        <w:rPr>
          <w:rFonts w:ascii="Times New Roman" w:hAnsi="Times New Roman" w:cs="Times New Roman"/>
          <w:sz w:val="24"/>
          <w:szCs w:val="24"/>
        </w:rPr>
        <w:t xml:space="preserve">беле </w:t>
      </w:r>
      <w:r w:rsidR="007A24AC" w:rsidRPr="00794103">
        <w:rPr>
          <w:rFonts w:ascii="Times New Roman" w:hAnsi="Times New Roman" w:cs="Times New Roman"/>
          <w:sz w:val="24"/>
          <w:szCs w:val="24"/>
        </w:rPr>
        <w:t>3</w:t>
      </w:r>
      <w:r w:rsidRPr="00A330BA">
        <w:rPr>
          <w:rFonts w:ascii="Times New Roman" w:hAnsi="Times New Roman" w:cs="Times New Roman"/>
          <w:sz w:val="24"/>
          <w:szCs w:val="24"/>
        </w:rPr>
        <w:t xml:space="preserve"> показују </w:t>
      </w:r>
      <w:r w:rsidR="001B10E9">
        <w:rPr>
          <w:rFonts w:ascii="Times New Roman" w:hAnsi="Times New Roman" w:cs="Times New Roman"/>
          <w:sz w:val="24"/>
          <w:szCs w:val="24"/>
        </w:rPr>
        <w:t xml:space="preserve">ефекте </w:t>
      </w:r>
      <w:r w:rsidR="00274BE6">
        <w:rPr>
          <w:rFonts w:ascii="Times New Roman" w:hAnsi="Times New Roman" w:cs="Times New Roman"/>
          <w:sz w:val="24"/>
          <w:szCs w:val="24"/>
        </w:rPr>
        <w:t xml:space="preserve">примене </w:t>
      </w:r>
      <w:r w:rsidR="00A25B77">
        <w:rPr>
          <w:rFonts w:ascii="Times New Roman" w:hAnsi="Times New Roman" w:cs="Times New Roman"/>
          <w:sz w:val="24"/>
          <w:szCs w:val="24"/>
        </w:rPr>
        <w:t xml:space="preserve">новог </w:t>
      </w:r>
      <w:r w:rsidR="00A25B77">
        <w:rPr>
          <w:rFonts w:ascii="Times New Roman" w:hAnsi="Times New Roman" w:cs="Times New Roman"/>
          <w:sz w:val="24"/>
          <w:szCs w:val="24"/>
          <w:lang w:val="sr-Cyrl-RS"/>
        </w:rPr>
        <w:t>З</w:t>
      </w:r>
      <w:r w:rsidR="001B10E9">
        <w:rPr>
          <w:rFonts w:ascii="Times New Roman" w:hAnsi="Times New Roman" w:cs="Times New Roman"/>
          <w:sz w:val="24"/>
          <w:szCs w:val="24"/>
        </w:rPr>
        <w:t>акона којим је уведена боља контрола преговарачк</w:t>
      </w:r>
      <w:r w:rsidR="00274BE6">
        <w:rPr>
          <w:rFonts w:ascii="Times New Roman" w:hAnsi="Times New Roman" w:cs="Times New Roman"/>
          <w:sz w:val="24"/>
          <w:szCs w:val="24"/>
        </w:rPr>
        <w:t>ог поступ</w:t>
      </w:r>
      <w:r w:rsidR="001B10E9">
        <w:rPr>
          <w:rFonts w:ascii="Times New Roman" w:hAnsi="Times New Roman" w:cs="Times New Roman"/>
          <w:sz w:val="24"/>
          <w:szCs w:val="24"/>
        </w:rPr>
        <w:t>ка:</w:t>
      </w:r>
      <w:r w:rsidRPr="00A330BA">
        <w:rPr>
          <w:rFonts w:ascii="Times New Roman" w:hAnsi="Times New Roman" w:cs="Times New Roman"/>
          <w:sz w:val="24"/>
          <w:szCs w:val="24"/>
        </w:rPr>
        <w:t xml:space="preserve"> учешће </w:t>
      </w:r>
      <w:r w:rsidR="001B10E9">
        <w:rPr>
          <w:rFonts w:ascii="Times New Roman" w:hAnsi="Times New Roman" w:cs="Times New Roman"/>
          <w:sz w:val="24"/>
          <w:szCs w:val="24"/>
        </w:rPr>
        <w:t xml:space="preserve">преговарачког поступка </w:t>
      </w:r>
      <w:r w:rsidR="00274BE6">
        <w:rPr>
          <w:rFonts w:ascii="Times New Roman" w:hAnsi="Times New Roman" w:cs="Times New Roman"/>
          <w:sz w:val="24"/>
          <w:szCs w:val="24"/>
        </w:rPr>
        <w:t xml:space="preserve">без претходног објављивања </w:t>
      </w:r>
      <w:r w:rsidR="001B10E9">
        <w:rPr>
          <w:rFonts w:ascii="Times New Roman" w:hAnsi="Times New Roman" w:cs="Times New Roman"/>
          <w:sz w:val="24"/>
          <w:szCs w:val="24"/>
        </w:rPr>
        <w:t xml:space="preserve">смањило се </w:t>
      </w:r>
      <w:r w:rsidR="003C21AE">
        <w:rPr>
          <w:rFonts w:ascii="Times New Roman" w:hAnsi="Times New Roman" w:cs="Times New Roman"/>
          <w:sz w:val="24"/>
          <w:szCs w:val="24"/>
        </w:rPr>
        <w:t xml:space="preserve">са 24% у првом </w:t>
      </w:r>
      <w:r w:rsidR="001B10E9">
        <w:rPr>
          <w:rFonts w:ascii="Times New Roman" w:hAnsi="Times New Roman" w:cs="Times New Roman"/>
          <w:sz w:val="24"/>
          <w:szCs w:val="24"/>
        </w:rPr>
        <w:t xml:space="preserve">полугодишту </w:t>
      </w:r>
      <w:r w:rsidR="003C21AE">
        <w:rPr>
          <w:rFonts w:ascii="Times New Roman" w:hAnsi="Times New Roman" w:cs="Times New Roman"/>
          <w:sz w:val="24"/>
          <w:szCs w:val="24"/>
        </w:rPr>
        <w:t>2013. године на 4% у првом полугодишту 2014</w:t>
      </w:r>
      <w:r w:rsidR="00274BE6">
        <w:rPr>
          <w:rFonts w:ascii="Times New Roman" w:hAnsi="Times New Roman" w:cs="Times New Roman"/>
          <w:sz w:val="24"/>
          <w:szCs w:val="24"/>
        </w:rPr>
        <w:t xml:space="preserve">. </w:t>
      </w:r>
      <w:r w:rsidR="001B10E9">
        <w:rPr>
          <w:rFonts w:ascii="Times New Roman" w:hAnsi="Times New Roman" w:cs="Times New Roman"/>
          <w:sz w:val="24"/>
          <w:szCs w:val="24"/>
        </w:rPr>
        <w:t>године.</w:t>
      </w:r>
      <w:r w:rsidR="00274BE6">
        <w:rPr>
          <w:rFonts w:ascii="Times New Roman" w:hAnsi="Times New Roman" w:cs="Times New Roman"/>
          <w:sz w:val="24"/>
          <w:szCs w:val="24"/>
        </w:rPr>
        <w:t xml:space="preserve"> Упоредо са тим, дошло је до </w:t>
      </w:r>
      <w:r w:rsidR="003C21AE">
        <w:rPr>
          <w:rFonts w:ascii="Times New Roman" w:hAnsi="Times New Roman" w:cs="Times New Roman"/>
          <w:sz w:val="24"/>
          <w:szCs w:val="24"/>
        </w:rPr>
        <w:t xml:space="preserve">значајног </w:t>
      </w:r>
      <w:r w:rsidR="00274BE6">
        <w:rPr>
          <w:rFonts w:ascii="Times New Roman" w:hAnsi="Times New Roman" w:cs="Times New Roman"/>
          <w:sz w:val="24"/>
          <w:szCs w:val="24"/>
        </w:rPr>
        <w:t xml:space="preserve">повећања учешћа отвореног поступка са 54% у </w:t>
      </w:r>
      <w:r w:rsidR="00B844CD">
        <w:rPr>
          <w:rFonts w:ascii="Times New Roman" w:hAnsi="Times New Roman" w:cs="Times New Roman"/>
          <w:sz w:val="24"/>
          <w:szCs w:val="24"/>
          <w:lang w:val="sr-Cyrl-RS"/>
        </w:rPr>
        <w:t>првом</w:t>
      </w:r>
      <w:r w:rsidR="00274BE6">
        <w:rPr>
          <w:rFonts w:ascii="Times New Roman" w:hAnsi="Times New Roman" w:cs="Times New Roman"/>
          <w:sz w:val="24"/>
          <w:szCs w:val="24"/>
        </w:rPr>
        <w:t xml:space="preserve"> полугодишту </w:t>
      </w:r>
      <w:r w:rsidR="003C21AE">
        <w:rPr>
          <w:rFonts w:ascii="Times New Roman" w:hAnsi="Times New Roman" w:cs="Times New Roman"/>
          <w:sz w:val="24"/>
          <w:szCs w:val="24"/>
        </w:rPr>
        <w:t xml:space="preserve">2013. </w:t>
      </w:r>
      <w:r w:rsidR="00274BE6">
        <w:rPr>
          <w:rFonts w:ascii="Times New Roman" w:hAnsi="Times New Roman" w:cs="Times New Roman"/>
          <w:sz w:val="24"/>
          <w:szCs w:val="24"/>
        </w:rPr>
        <w:t xml:space="preserve">на </w:t>
      </w:r>
      <w:r w:rsidR="003C21AE">
        <w:rPr>
          <w:rFonts w:ascii="Times New Roman" w:hAnsi="Times New Roman" w:cs="Times New Roman"/>
          <w:sz w:val="24"/>
          <w:szCs w:val="24"/>
        </w:rPr>
        <w:t>86</w:t>
      </w:r>
      <w:r w:rsidR="00274BE6">
        <w:rPr>
          <w:rFonts w:ascii="Times New Roman" w:hAnsi="Times New Roman" w:cs="Times New Roman"/>
          <w:sz w:val="24"/>
          <w:szCs w:val="24"/>
        </w:rPr>
        <w:t xml:space="preserve">% у </w:t>
      </w:r>
      <w:r w:rsidR="00B844CD">
        <w:rPr>
          <w:rFonts w:ascii="Times New Roman" w:hAnsi="Times New Roman" w:cs="Times New Roman"/>
          <w:sz w:val="24"/>
          <w:szCs w:val="24"/>
          <w:lang w:val="sr-Cyrl-RS"/>
        </w:rPr>
        <w:t>првом</w:t>
      </w:r>
      <w:r w:rsidR="00274BE6">
        <w:rPr>
          <w:rFonts w:ascii="Times New Roman" w:hAnsi="Times New Roman" w:cs="Times New Roman"/>
          <w:sz w:val="24"/>
          <w:szCs w:val="24"/>
        </w:rPr>
        <w:t xml:space="preserve"> полугодишту 201</w:t>
      </w:r>
      <w:r w:rsidR="003C21AE">
        <w:rPr>
          <w:rFonts w:ascii="Times New Roman" w:hAnsi="Times New Roman" w:cs="Times New Roman"/>
          <w:sz w:val="24"/>
          <w:szCs w:val="24"/>
        </w:rPr>
        <w:t>4</w:t>
      </w:r>
      <w:r w:rsidR="00274BE6">
        <w:rPr>
          <w:rFonts w:ascii="Times New Roman" w:hAnsi="Times New Roman" w:cs="Times New Roman"/>
          <w:sz w:val="24"/>
          <w:szCs w:val="24"/>
        </w:rPr>
        <w:t xml:space="preserve">. </w:t>
      </w:r>
      <w:r w:rsidR="003C21AE">
        <w:rPr>
          <w:rFonts w:ascii="Times New Roman" w:hAnsi="Times New Roman" w:cs="Times New Roman"/>
          <w:sz w:val="24"/>
          <w:szCs w:val="24"/>
        </w:rPr>
        <w:t>г</w:t>
      </w:r>
      <w:r w:rsidR="00274BE6">
        <w:rPr>
          <w:rFonts w:ascii="Times New Roman" w:hAnsi="Times New Roman" w:cs="Times New Roman"/>
          <w:sz w:val="24"/>
          <w:szCs w:val="24"/>
        </w:rPr>
        <w:t>одине.</w:t>
      </w:r>
      <w:r w:rsidR="003C21AE">
        <w:rPr>
          <w:rFonts w:ascii="Times New Roman" w:hAnsi="Times New Roman" w:cs="Times New Roman"/>
          <w:sz w:val="24"/>
          <w:szCs w:val="24"/>
        </w:rPr>
        <w:t xml:space="preserve"> Збирни удео отвореног и рестриктивног</w:t>
      </w:r>
      <w:r w:rsidR="0034561F">
        <w:rPr>
          <w:rFonts w:ascii="Times New Roman" w:hAnsi="Times New Roman" w:cs="Times New Roman"/>
          <w:sz w:val="24"/>
          <w:szCs w:val="24"/>
          <w:lang w:val="sr-Cyrl-RS"/>
        </w:rPr>
        <w:t xml:space="preserve"> (</w:t>
      </w:r>
      <w:r w:rsidR="0020201A">
        <w:rPr>
          <w:rFonts w:ascii="Times New Roman" w:hAnsi="Times New Roman" w:cs="Times New Roman"/>
          <w:sz w:val="24"/>
          <w:szCs w:val="24"/>
          <w:lang w:val="sr-Cyrl-RS"/>
        </w:rPr>
        <w:t xml:space="preserve">зјн </w:t>
      </w:r>
      <w:r w:rsidR="0034561F">
        <w:rPr>
          <w:rFonts w:ascii="Times New Roman" w:hAnsi="Times New Roman" w:cs="Times New Roman"/>
          <w:sz w:val="24"/>
          <w:szCs w:val="24"/>
          <w:lang w:val="sr-Cyrl-RS"/>
        </w:rPr>
        <w:t>2008)</w:t>
      </w:r>
      <w:r w:rsidR="00537282">
        <w:rPr>
          <w:rFonts w:ascii="Times New Roman" w:hAnsi="Times New Roman" w:cs="Times New Roman"/>
          <w:sz w:val="24"/>
          <w:szCs w:val="24"/>
          <w:lang w:val="sr-Cyrl-RS"/>
        </w:rPr>
        <w:t>, односно квалификационог</w:t>
      </w:r>
      <w:r w:rsidR="0020201A">
        <w:rPr>
          <w:rFonts w:ascii="Times New Roman" w:hAnsi="Times New Roman" w:cs="Times New Roman"/>
          <w:sz w:val="24"/>
          <w:szCs w:val="24"/>
          <w:lang w:val="sr-Cyrl-RS"/>
        </w:rPr>
        <w:t xml:space="preserve"> (зјн 2012)</w:t>
      </w:r>
      <w:r w:rsidR="00537282">
        <w:rPr>
          <w:rFonts w:ascii="Times New Roman" w:hAnsi="Times New Roman" w:cs="Times New Roman"/>
          <w:sz w:val="24"/>
          <w:szCs w:val="24"/>
          <w:lang w:val="sr-Cyrl-RS"/>
        </w:rPr>
        <w:t xml:space="preserve"> </w:t>
      </w:r>
      <w:r w:rsidR="003C21AE">
        <w:rPr>
          <w:rFonts w:ascii="Times New Roman" w:hAnsi="Times New Roman" w:cs="Times New Roman"/>
          <w:sz w:val="24"/>
          <w:szCs w:val="24"/>
        </w:rPr>
        <w:t xml:space="preserve"> поступка који се сматрају конкурентним поступцима</w:t>
      </w:r>
      <w:r w:rsidR="00537282">
        <w:rPr>
          <w:rFonts w:ascii="Times New Roman" w:hAnsi="Times New Roman" w:cs="Times New Roman"/>
          <w:sz w:val="24"/>
          <w:szCs w:val="24"/>
          <w:lang w:val="sr-Cyrl-RS"/>
        </w:rPr>
        <w:t>,</w:t>
      </w:r>
      <w:r w:rsidR="003C21AE">
        <w:rPr>
          <w:rFonts w:ascii="Times New Roman" w:hAnsi="Times New Roman" w:cs="Times New Roman"/>
          <w:sz w:val="24"/>
          <w:szCs w:val="24"/>
        </w:rPr>
        <w:t xml:space="preserve"> повећан је са 68% у првом полугодишту 2013. године на 93% у </w:t>
      </w:r>
      <w:r w:rsidR="00D80F0E">
        <w:rPr>
          <w:rFonts w:ascii="Times New Roman" w:hAnsi="Times New Roman" w:cs="Times New Roman"/>
          <w:sz w:val="24"/>
          <w:szCs w:val="24"/>
          <w:lang w:val="sr-Cyrl-RS"/>
        </w:rPr>
        <w:t xml:space="preserve">истом периоду  </w:t>
      </w:r>
      <w:r w:rsidR="003C21AE">
        <w:rPr>
          <w:rFonts w:ascii="Times New Roman" w:hAnsi="Times New Roman" w:cs="Times New Roman"/>
          <w:sz w:val="24"/>
          <w:szCs w:val="24"/>
        </w:rPr>
        <w:t>2014. године</w:t>
      </w:r>
      <w:r w:rsidR="0000737D">
        <w:rPr>
          <w:rFonts w:ascii="Times New Roman" w:hAnsi="Times New Roman" w:cs="Times New Roman"/>
          <w:sz w:val="24"/>
          <w:szCs w:val="24"/>
        </w:rPr>
        <w:t xml:space="preserve"> (</w:t>
      </w:r>
      <w:r w:rsidR="00794103">
        <w:rPr>
          <w:rFonts w:ascii="Times New Roman" w:hAnsi="Times New Roman" w:cs="Times New Roman"/>
          <w:sz w:val="24"/>
          <w:szCs w:val="24"/>
          <w:lang w:val="sr-Cyrl-RS"/>
        </w:rPr>
        <w:t>Т</w:t>
      </w:r>
      <w:r w:rsidR="0000737D">
        <w:rPr>
          <w:rFonts w:ascii="Times New Roman" w:hAnsi="Times New Roman" w:cs="Times New Roman"/>
          <w:sz w:val="24"/>
          <w:szCs w:val="24"/>
        </w:rPr>
        <w:t>абела 3)</w:t>
      </w:r>
      <w:r w:rsidR="003C21AE">
        <w:rPr>
          <w:rFonts w:ascii="Times New Roman" w:hAnsi="Times New Roman" w:cs="Times New Roman"/>
          <w:sz w:val="24"/>
          <w:szCs w:val="24"/>
        </w:rPr>
        <w:t xml:space="preserve">.  </w:t>
      </w:r>
    </w:p>
    <w:p w:rsidR="001B10E9" w:rsidRDefault="0000737D" w:rsidP="00EE01E7">
      <w:pPr>
        <w:jc w:val="both"/>
        <w:rPr>
          <w:rFonts w:ascii="Times New Roman" w:hAnsi="Times New Roman" w:cs="Times New Roman"/>
          <w:sz w:val="24"/>
          <w:szCs w:val="24"/>
        </w:rPr>
      </w:pPr>
      <w:r>
        <w:rPr>
          <w:rFonts w:ascii="Times New Roman" w:hAnsi="Times New Roman" w:cs="Times New Roman"/>
          <w:sz w:val="24"/>
          <w:szCs w:val="24"/>
        </w:rPr>
        <w:t xml:space="preserve">Упоредни преглед структуре поступака на </w:t>
      </w:r>
      <w:r w:rsidR="00E3384D">
        <w:rPr>
          <w:rFonts w:ascii="Times New Roman" w:hAnsi="Times New Roman" w:cs="Times New Roman"/>
          <w:sz w:val="24"/>
          <w:szCs w:val="24"/>
          <w:lang w:val="sr-Cyrl-RS"/>
        </w:rPr>
        <w:t>С</w:t>
      </w:r>
      <w:r>
        <w:rPr>
          <w:rFonts w:ascii="Times New Roman" w:hAnsi="Times New Roman" w:cs="Times New Roman"/>
          <w:sz w:val="24"/>
          <w:szCs w:val="24"/>
        </w:rPr>
        <w:t xml:space="preserve">лици 2 </w:t>
      </w:r>
      <w:r w:rsidR="005E57CA">
        <w:rPr>
          <w:rFonts w:ascii="Times New Roman" w:hAnsi="Times New Roman" w:cs="Times New Roman"/>
          <w:sz w:val="24"/>
          <w:szCs w:val="24"/>
        </w:rPr>
        <w:t>у</w:t>
      </w:r>
      <w:r>
        <w:rPr>
          <w:rFonts w:ascii="Times New Roman" w:hAnsi="Times New Roman" w:cs="Times New Roman"/>
          <w:sz w:val="24"/>
          <w:szCs w:val="24"/>
        </w:rPr>
        <w:t xml:space="preserve">казује </w:t>
      </w:r>
      <w:r w:rsidR="005E57CA">
        <w:rPr>
          <w:rFonts w:ascii="Times New Roman" w:hAnsi="Times New Roman" w:cs="Times New Roman"/>
          <w:sz w:val="24"/>
          <w:szCs w:val="24"/>
        </w:rPr>
        <w:t>н</w:t>
      </w:r>
      <w:r>
        <w:rPr>
          <w:rFonts w:ascii="Times New Roman" w:hAnsi="Times New Roman" w:cs="Times New Roman"/>
          <w:sz w:val="24"/>
          <w:szCs w:val="24"/>
        </w:rPr>
        <w:t>а доминацију отвореног посту</w:t>
      </w:r>
      <w:r w:rsidR="00C5410C">
        <w:rPr>
          <w:rFonts w:ascii="Times New Roman" w:hAnsi="Times New Roman" w:cs="Times New Roman"/>
          <w:sz w:val="24"/>
          <w:szCs w:val="24"/>
          <w:lang w:val="sr-Cyrl-RS"/>
        </w:rPr>
        <w:t>п</w:t>
      </w:r>
      <w:r>
        <w:rPr>
          <w:rFonts w:ascii="Times New Roman" w:hAnsi="Times New Roman" w:cs="Times New Roman"/>
          <w:sz w:val="24"/>
          <w:szCs w:val="24"/>
        </w:rPr>
        <w:t xml:space="preserve">ка и свођење преговарачког поступка без објављивања јавног позива на ниво који </w:t>
      </w:r>
      <w:r w:rsidR="00D80F0E">
        <w:rPr>
          <w:rFonts w:ascii="Times New Roman" w:hAnsi="Times New Roman" w:cs="Times New Roman"/>
          <w:sz w:val="24"/>
          <w:szCs w:val="24"/>
          <w:lang w:val="sr-Cyrl-RS"/>
        </w:rPr>
        <w:t xml:space="preserve">представља </w:t>
      </w:r>
      <w:r>
        <w:rPr>
          <w:rFonts w:ascii="Times New Roman" w:hAnsi="Times New Roman" w:cs="Times New Roman"/>
          <w:sz w:val="24"/>
          <w:szCs w:val="24"/>
        </w:rPr>
        <w:t xml:space="preserve">стандард у ЕУ. До ових промена је дошло </w:t>
      </w:r>
      <w:r w:rsidR="00D80F0E">
        <w:rPr>
          <w:rFonts w:ascii="Times New Roman" w:hAnsi="Times New Roman" w:cs="Times New Roman"/>
          <w:sz w:val="24"/>
          <w:szCs w:val="24"/>
          <w:lang w:val="sr-Cyrl-RS"/>
        </w:rPr>
        <w:t>услед тога</w:t>
      </w:r>
      <w:r>
        <w:rPr>
          <w:rFonts w:ascii="Times New Roman" w:hAnsi="Times New Roman" w:cs="Times New Roman"/>
          <w:sz w:val="24"/>
          <w:szCs w:val="24"/>
        </w:rPr>
        <w:t xml:space="preserve"> што су мишљења Управе упућивала наручиоце на примену отвореног </w:t>
      </w:r>
      <w:r>
        <w:rPr>
          <w:rFonts w:ascii="Times New Roman" w:hAnsi="Times New Roman" w:cs="Times New Roman"/>
          <w:sz w:val="24"/>
          <w:szCs w:val="24"/>
        </w:rPr>
        <w:lastRenderedPageBreak/>
        <w:t xml:space="preserve">поступка, а преговарачког само у изузетним случајевима, као што је предвиђено </w:t>
      </w:r>
      <w:r w:rsidR="00E3384D">
        <w:rPr>
          <w:rFonts w:ascii="Times New Roman" w:hAnsi="Times New Roman" w:cs="Times New Roman"/>
          <w:sz w:val="24"/>
          <w:szCs w:val="24"/>
          <w:lang w:val="sr-Cyrl-RS"/>
        </w:rPr>
        <w:t>Законом</w:t>
      </w:r>
      <w:r>
        <w:rPr>
          <w:rFonts w:ascii="Times New Roman" w:hAnsi="Times New Roman" w:cs="Times New Roman"/>
          <w:sz w:val="24"/>
          <w:szCs w:val="24"/>
        </w:rPr>
        <w:t xml:space="preserve">. Тиме је постигнута пуна </w:t>
      </w:r>
      <w:r w:rsidR="005E57CA">
        <w:rPr>
          <w:rFonts w:ascii="Times New Roman" w:hAnsi="Times New Roman" w:cs="Times New Roman"/>
          <w:sz w:val="24"/>
          <w:szCs w:val="24"/>
        </w:rPr>
        <w:t xml:space="preserve">и доследна </w:t>
      </w:r>
      <w:r>
        <w:rPr>
          <w:rFonts w:ascii="Times New Roman" w:hAnsi="Times New Roman" w:cs="Times New Roman"/>
          <w:sz w:val="24"/>
          <w:szCs w:val="24"/>
        </w:rPr>
        <w:t xml:space="preserve">примена </w:t>
      </w:r>
      <w:r w:rsidR="009D279B">
        <w:rPr>
          <w:rFonts w:ascii="Times New Roman" w:hAnsi="Times New Roman" w:cs="Times New Roman"/>
          <w:sz w:val="24"/>
          <w:szCs w:val="24"/>
          <w:lang w:val="sr-Cyrl-RS"/>
        </w:rPr>
        <w:t>законске регулативе</w:t>
      </w:r>
      <w:r>
        <w:rPr>
          <w:rFonts w:ascii="Times New Roman" w:hAnsi="Times New Roman" w:cs="Times New Roman"/>
          <w:sz w:val="24"/>
          <w:szCs w:val="24"/>
        </w:rPr>
        <w:t xml:space="preserve"> са аспекта обезбеђивања конкуренције кроз отклањање неоправдане примене преговарачког поступка. </w:t>
      </w:r>
    </w:p>
    <w:p w:rsidR="00744FF8" w:rsidRDefault="00C41DA4" w:rsidP="00EE01E7">
      <w:pPr>
        <w:jc w:val="center"/>
        <w:rPr>
          <w:rFonts w:ascii="Times New Roman" w:hAnsi="Times New Roman" w:cs="Times New Roman"/>
          <w:sz w:val="24"/>
          <w:szCs w:val="24"/>
        </w:rPr>
      </w:pPr>
      <w:r w:rsidRPr="00D80F0E">
        <w:rPr>
          <w:rFonts w:ascii="Times New Roman" w:hAnsi="Times New Roman" w:cs="Times New Roman"/>
          <w:b/>
          <w:sz w:val="24"/>
          <w:szCs w:val="24"/>
        </w:rPr>
        <w:t xml:space="preserve">Слика </w:t>
      </w:r>
      <w:r w:rsidR="0000737D" w:rsidRPr="00D80F0E">
        <w:rPr>
          <w:rFonts w:ascii="Times New Roman" w:hAnsi="Times New Roman" w:cs="Times New Roman"/>
          <w:b/>
          <w:sz w:val="24"/>
          <w:szCs w:val="24"/>
        </w:rPr>
        <w:t>2</w:t>
      </w:r>
      <w:r w:rsidR="00EE01E7" w:rsidRPr="00D80F0E">
        <w:rPr>
          <w:rFonts w:ascii="Times New Roman" w:hAnsi="Times New Roman" w:cs="Times New Roman"/>
          <w:b/>
          <w:sz w:val="24"/>
          <w:szCs w:val="24"/>
        </w:rPr>
        <w:br/>
      </w:r>
      <w:r w:rsidR="00DB1BA2" w:rsidRPr="004A1464">
        <w:rPr>
          <w:rFonts w:ascii="Times New Roman" w:hAnsi="Times New Roman" w:cs="Times New Roman"/>
          <w:sz w:val="24"/>
          <w:szCs w:val="24"/>
        </w:rPr>
        <w:object w:dxaOrig="7980" w:dyaOrig="5711">
          <v:shape id="_x0000_i1026" type="#_x0000_t75" style="width:398.7pt;height:285.95pt" o:ole="">
            <v:imagedata r:id="rId15" o:title=""/>
          </v:shape>
          <o:OLEObject Type="Embed" ProgID="Excel.Sheet.12" ShapeID="_x0000_i1026" DrawAspect="Content" ObjectID="_1471688935" r:id="rId16"/>
        </w:object>
      </w:r>
    </w:p>
    <w:p w:rsidR="009260CC" w:rsidRPr="009260CC" w:rsidRDefault="0051352C" w:rsidP="00EE01E7">
      <w:pPr>
        <w:jc w:val="center"/>
        <w:rPr>
          <w:rFonts w:ascii="Times New Roman" w:hAnsi="Times New Roman" w:cs="Times New Roman"/>
          <w:sz w:val="24"/>
          <w:szCs w:val="24"/>
        </w:rPr>
      </w:pPr>
      <w:r w:rsidRPr="004A1464">
        <w:rPr>
          <w:rFonts w:ascii="Times New Roman" w:hAnsi="Times New Roman" w:cs="Times New Roman"/>
          <w:sz w:val="24"/>
          <w:szCs w:val="24"/>
        </w:rPr>
        <w:object w:dxaOrig="8957" w:dyaOrig="5811">
          <v:shape id="_x0000_i1027" type="#_x0000_t75" style="width:398.7pt;height:285.95pt" o:ole="">
            <v:imagedata r:id="rId17" o:title=""/>
            <o:lock v:ext="edit" aspectratio="f"/>
          </v:shape>
          <o:OLEObject Type="Embed" ProgID="Excel.Sheet.12" ShapeID="_x0000_i1027" DrawAspect="Content" ObjectID="_1471688936" r:id="rId18"/>
        </w:object>
      </w:r>
    </w:p>
    <w:p w:rsidR="00744FF8" w:rsidRDefault="00744FF8" w:rsidP="00744FF8">
      <w:pPr>
        <w:jc w:val="center"/>
        <w:rPr>
          <w:rFonts w:ascii="Times New Roman" w:hAnsi="Times New Roman" w:cs="Times New Roman"/>
          <w:sz w:val="24"/>
          <w:szCs w:val="24"/>
        </w:rPr>
      </w:pPr>
    </w:p>
    <w:p w:rsidR="00EE31A5" w:rsidRDefault="003E6054" w:rsidP="00905FD2">
      <w:pPr>
        <w:rPr>
          <w:rFonts w:ascii="Times New Roman" w:hAnsi="Times New Roman" w:cs="Times New Roman"/>
          <w:sz w:val="24"/>
          <w:szCs w:val="24"/>
        </w:rPr>
      </w:pPr>
      <w:r>
        <w:rPr>
          <w:rFonts w:ascii="Times New Roman" w:hAnsi="Times New Roman" w:cs="Times New Roman"/>
          <w:sz w:val="24"/>
          <w:szCs w:val="24"/>
          <w:lang w:val="sr-Cyrl-RS"/>
        </w:rPr>
        <w:lastRenderedPageBreak/>
        <w:t>Хронолошки гледано</w:t>
      </w:r>
      <w:r w:rsidR="00C2377B">
        <w:rPr>
          <w:rFonts w:ascii="Times New Roman" w:hAnsi="Times New Roman" w:cs="Times New Roman"/>
          <w:sz w:val="24"/>
          <w:szCs w:val="24"/>
        </w:rPr>
        <w:t>, у</w:t>
      </w:r>
      <w:r>
        <w:rPr>
          <w:rFonts w:ascii="Times New Roman" w:hAnsi="Times New Roman" w:cs="Times New Roman"/>
          <w:sz w:val="24"/>
          <w:szCs w:val="24"/>
          <w:lang w:val="sr-Cyrl-RS"/>
        </w:rPr>
        <w:t xml:space="preserve"> </w:t>
      </w:r>
      <w:r w:rsidR="00C2377B">
        <w:rPr>
          <w:rFonts w:ascii="Times New Roman" w:hAnsi="Times New Roman" w:cs="Times New Roman"/>
          <w:sz w:val="24"/>
          <w:szCs w:val="24"/>
        </w:rPr>
        <w:t xml:space="preserve">првом </w:t>
      </w:r>
      <w:r w:rsidR="00274BE6">
        <w:rPr>
          <w:rFonts w:ascii="Times New Roman" w:hAnsi="Times New Roman" w:cs="Times New Roman"/>
          <w:sz w:val="24"/>
          <w:szCs w:val="24"/>
        </w:rPr>
        <w:t>полугодишту 201</w:t>
      </w:r>
      <w:r w:rsidR="00C2377B">
        <w:rPr>
          <w:rFonts w:ascii="Times New Roman" w:hAnsi="Times New Roman" w:cs="Times New Roman"/>
          <w:sz w:val="24"/>
          <w:szCs w:val="24"/>
        </w:rPr>
        <w:t>4</w:t>
      </w:r>
      <w:r w:rsidR="00274BE6">
        <w:rPr>
          <w:rFonts w:ascii="Times New Roman" w:hAnsi="Times New Roman" w:cs="Times New Roman"/>
          <w:sz w:val="24"/>
          <w:szCs w:val="24"/>
        </w:rPr>
        <w:t xml:space="preserve">. </w:t>
      </w:r>
      <w:r w:rsidR="00C2377B">
        <w:rPr>
          <w:rFonts w:ascii="Times New Roman" w:hAnsi="Times New Roman" w:cs="Times New Roman"/>
          <w:sz w:val="24"/>
          <w:szCs w:val="24"/>
        </w:rPr>
        <w:t>г</w:t>
      </w:r>
      <w:r w:rsidR="00274BE6">
        <w:rPr>
          <w:rFonts w:ascii="Times New Roman" w:hAnsi="Times New Roman" w:cs="Times New Roman"/>
          <w:sz w:val="24"/>
          <w:szCs w:val="24"/>
        </w:rPr>
        <w:t>одине</w:t>
      </w:r>
      <w:r w:rsidR="00C2377B">
        <w:rPr>
          <w:rFonts w:ascii="Times New Roman" w:hAnsi="Times New Roman" w:cs="Times New Roman"/>
          <w:sz w:val="24"/>
          <w:szCs w:val="24"/>
        </w:rPr>
        <w:t>,</w:t>
      </w:r>
      <w:r w:rsidR="00274BE6">
        <w:rPr>
          <w:rFonts w:ascii="Times New Roman" w:hAnsi="Times New Roman" w:cs="Times New Roman"/>
          <w:sz w:val="24"/>
          <w:szCs w:val="24"/>
        </w:rPr>
        <w:t xml:space="preserve"> остварено је </w:t>
      </w:r>
      <w:r w:rsidR="00A330BA" w:rsidRPr="00A330BA">
        <w:rPr>
          <w:rFonts w:ascii="Times New Roman" w:hAnsi="Times New Roman" w:cs="Times New Roman"/>
          <w:sz w:val="24"/>
          <w:szCs w:val="24"/>
        </w:rPr>
        <w:t xml:space="preserve">највеће учешће </w:t>
      </w:r>
      <w:r w:rsidR="00177B9E">
        <w:rPr>
          <w:rFonts w:ascii="Times New Roman" w:hAnsi="Times New Roman" w:cs="Times New Roman"/>
          <w:sz w:val="24"/>
          <w:szCs w:val="24"/>
        </w:rPr>
        <w:t xml:space="preserve">отвореног поступка </w:t>
      </w:r>
      <w:r w:rsidR="007F50EE">
        <w:rPr>
          <w:rFonts w:ascii="Times New Roman" w:hAnsi="Times New Roman" w:cs="Times New Roman"/>
          <w:sz w:val="24"/>
          <w:szCs w:val="24"/>
        </w:rPr>
        <w:t xml:space="preserve">од </w:t>
      </w:r>
      <w:r w:rsidR="007F2355">
        <w:rPr>
          <w:rFonts w:ascii="Times New Roman" w:hAnsi="Times New Roman" w:cs="Times New Roman"/>
          <w:sz w:val="24"/>
          <w:szCs w:val="24"/>
          <w:lang w:val="sr-Cyrl-RS"/>
        </w:rPr>
        <w:t xml:space="preserve"> </w:t>
      </w:r>
      <w:r w:rsidR="007F50EE">
        <w:rPr>
          <w:rFonts w:ascii="Times New Roman" w:hAnsi="Times New Roman" w:cs="Times New Roman"/>
          <w:sz w:val="24"/>
          <w:szCs w:val="24"/>
        </w:rPr>
        <w:t xml:space="preserve">2003. године </w:t>
      </w:r>
      <w:r w:rsidR="00C2377B">
        <w:rPr>
          <w:rFonts w:ascii="Times New Roman" w:hAnsi="Times New Roman" w:cs="Times New Roman"/>
          <w:sz w:val="24"/>
          <w:szCs w:val="24"/>
        </w:rPr>
        <w:t xml:space="preserve">наовамо </w:t>
      </w:r>
      <w:r w:rsidR="00412BE9">
        <w:rPr>
          <w:rFonts w:ascii="Times New Roman" w:hAnsi="Times New Roman" w:cs="Times New Roman"/>
          <w:sz w:val="24"/>
          <w:szCs w:val="24"/>
        </w:rPr>
        <w:t xml:space="preserve">(Слика </w:t>
      </w:r>
      <w:r w:rsidR="00C2377B">
        <w:rPr>
          <w:rFonts w:ascii="Times New Roman" w:hAnsi="Times New Roman" w:cs="Times New Roman"/>
          <w:sz w:val="24"/>
          <w:szCs w:val="24"/>
        </w:rPr>
        <w:t>3</w:t>
      </w:r>
      <w:r w:rsidR="00A330BA" w:rsidRPr="00A330BA">
        <w:rPr>
          <w:rFonts w:ascii="Times New Roman" w:hAnsi="Times New Roman" w:cs="Times New Roman"/>
          <w:sz w:val="24"/>
          <w:szCs w:val="24"/>
        </w:rPr>
        <w:t>).</w:t>
      </w:r>
    </w:p>
    <w:p w:rsidR="007F50EE" w:rsidRPr="009B4DA4" w:rsidRDefault="00412BE9" w:rsidP="007F50EE">
      <w:pPr>
        <w:jc w:val="center"/>
        <w:rPr>
          <w:rFonts w:ascii="Times New Roman" w:hAnsi="Times New Roman" w:cs="Times New Roman"/>
          <w:b/>
          <w:sz w:val="24"/>
          <w:szCs w:val="24"/>
        </w:rPr>
      </w:pPr>
      <w:r w:rsidRPr="009B4DA4">
        <w:rPr>
          <w:rFonts w:ascii="Times New Roman" w:hAnsi="Times New Roman" w:cs="Times New Roman"/>
          <w:b/>
          <w:sz w:val="24"/>
          <w:szCs w:val="24"/>
        </w:rPr>
        <w:t xml:space="preserve">Слика  </w:t>
      </w:r>
      <w:bookmarkStart w:id="1" w:name="_MON_1454937143"/>
      <w:bookmarkEnd w:id="1"/>
      <w:r w:rsidR="00C2377B" w:rsidRPr="009B4DA4">
        <w:rPr>
          <w:rFonts w:ascii="Times New Roman" w:hAnsi="Times New Roman" w:cs="Times New Roman"/>
          <w:b/>
          <w:sz w:val="24"/>
          <w:szCs w:val="24"/>
        </w:rPr>
        <w:t>3</w:t>
      </w:r>
    </w:p>
    <w:bookmarkStart w:id="2" w:name="_MON_1471070468"/>
    <w:bookmarkEnd w:id="2"/>
    <w:p w:rsidR="00A330BA" w:rsidRDefault="003A1A57" w:rsidP="00C46C4D">
      <w:pPr>
        <w:jc w:val="center"/>
      </w:pPr>
      <w:r>
        <w:object w:dxaOrig="12465" w:dyaOrig="4535">
          <v:shape id="_x0000_i1028" type="#_x0000_t75" style="width:440.15pt;height:195.6pt" o:ole="">
            <v:imagedata r:id="rId19" o:title=""/>
            <o:lock v:ext="edit" aspectratio="f"/>
          </v:shape>
          <o:OLEObject Type="Embed" ProgID="Excel.Sheet.12" ShapeID="_x0000_i1028" DrawAspect="Content" ObjectID="_1471688937" r:id="rId20"/>
        </w:object>
      </w:r>
    </w:p>
    <w:p w:rsidR="0006226F" w:rsidRDefault="0006226F" w:rsidP="00EC5440">
      <w:pPr>
        <w:jc w:val="both"/>
        <w:rPr>
          <w:rFonts w:ascii="Times New Roman" w:hAnsi="Times New Roman" w:cs="Times New Roman"/>
          <w:sz w:val="24"/>
          <w:szCs w:val="24"/>
        </w:rPr>
      </w:pPr>
    </w:p>
    <w:p w:rsidR="00531F44" w:rsidRPr="00EC5440" w:rsidRDefault="00EC5440" w:rsidP="00EC5440">
      <w:pPr>
        <w:jc w:val="both"/>
        <w:rPr>
          <w:rFonts w:ascii="Times New Roman" w:hAnsi="Times New Roman" w:cs="Times New Roman"/>
          <w:sz w:val="24"/>
          <w:szCs w:val="24"/>
        </w:rPr>
      </w:pPr>
      <w:r>
        <w:rPr>
          <w:rFonts w:ascii="Times New Roman" w:hAnsi="Times New Roman" w:cs="Times New Roman"/>
          <w:sz w:val="24"/>
          <w:szCs w:val="24"/>
        </w:rPr>
        <w:t>Истовремено, учешће преговарачког поступка без објављивања јавног позива</w:t>
      </w:r>
      <w:r w:rsidR="00C2377B">
        <w:rPr>
          <w:rFonts w:ascii="Times New Roman" w:hAnsi="Times New Roman" w:cs="Times New Roman"/>
          <w:sz w:val="24"/>
          <w:szCs w:val="24"/>
        </w:rPr>
        <w:t xml:space="preserve"> било је</w:t>
      </w:r>
      <w:r>
        <w:rPr>
          <w:rFonts w:ascii="Times New Roman" w:hAnsi="Times New Roman" w:cs="Times New Roman"/>
          <w:sz w:val="24"/>
          <w:szCs w:val="24"/>
        </w:rPr>
        <w:t xml:space="preserve">, у </w:t>
      </w:r>
      <w:r w:rsidR="00C2377B">
        <w:rPr>
          <w:rFonts w:ascii="Times New Roman" w:hAnsi="Times New Roman" w:cs="Times New Roman"/>
          <w:sz w:val="24"/>
          <w:szCs w:val="24"/>
        </w:rPr>
        <w:t xml:space="preserve">првом полугодишту 2014. године, </w:t>
      </w:r>
      <w:r>
        <w:rPr>
          <w:rFonts w:ascii="Times New Roman" w:hAnsi="Times New Roman" w:cs="Times New Roman"/>
          <w:sz w:val="24"/>
          <w:szCs w:val="24"/>
        </w:rPr>
        <w:t xml:space="preserve">најниже од 2003. године (Слика </w:t>
      </w:r>
      <w:r w:rsidR="00C2377B">
        <w:rPr>
          <w:rFonts w:ascii="Times New Roman" w:hAnsi="Times New Roman" w:cs="Times New Roman"/>
          <w:sz w:val="24"/>
          <w:szCs w:val="24"/>
        </w:rPr>
        <w:t>4</w:t>
      </w:r>
      <w:r>
        <w:rPr>
          <w:rFonts w:ascii="Times New Roman" w:hAnsi="Times New Roman" w:cs="Times New Roman"/>
          <w:sz w:val="24"/>
          <w:szCs w:val="24"/>
        </w:rPr>
        <w:t xml:space="preserve">). </w:t>
      </w:r>
    </w:p>
    <w:p w:rsidR="00482BC8" w:rsidRPr="009B4DA4" w:rsidRDefault="00707351" w:rsidP="001B454E">
      <w:pPr>
        <w:jc w:val="center"/>
        <w:rPr>
          <w:rFonts w:ascii="Times New Roman" w:hAnsi="Times New Roman" w:cs="Times New Roman"/>
          <w:b/>
          <w:sz w:val="24"/>
          <w:szCs w:val="24"/>
        </w:rPr>
      </w:pPr>
      <w:r w:rsidRPr="009B4DA4">
        <w:rPr>
          <w:rFonts w:ascii="Times New Roman" w:hAnsi="Times New Roman" w:cs="Times New Roman"/>
          <w:b/>
          <w:sz w:val="24"/>
          <w:szCs w:val="24"/>
        </w:rPr>
        <w:t>С</w:t>
      </w:r>
      <w:r w:rsidR="00412BE9" w:rsidRPr="009B4DA4">
        <w:rPr>
          <w:rFonts w:ascii="Times New Roman" w:hAnsi="Times New Roman" w:cs="Times New Roman"/>
          <w:b/>
          <w:sz w:val="24"/>
          <w:szCs w:val="24"/>
        </w:rPr>
        <w:t xml:space="preserve">лика </w:t>
      </w:r>
      <w:r w:rsidR="001A74A8" w:rsidRPr="009B4DA4">
        <w:rPr>
          <w:rFonts w:ascii="Times New Roman" w:hAnsi="Times New Roman" w:cs="Times New Roman"/>
          <w:b/>
          <w:sz w:val="24"/>
          <w:szCs w:val="24"/>
        </w:rPr>
        <w:t>4</w:t>
      </w:r>
    </w:p>
    <w:bookmarkStart w:id="3" w:name="_MON_1471070482"/>
    <w:bookmarkEnd w:id="3"/>
    <w:p w:rsidR="00A330BA" w:rsidRDefault="003A1A57" w:rsidP="00A330BA">
      <w:pPr>
        <w:jc w:val="center"/>
      </w:pPr>
      <w:r>
        <w:object w:dxaOrig="13482" w:dyaOrig="6487">
          <v:shape id="_x0000_i1029" type="#_x0000_t75" style="width:442.85pt;height:222.1pt" o:ole="">
            <v:imagedata r:id="rId21" o:title=""/>
          </v:shape>
          <o:OLEObject Type="Embed" ProgID="Excel.Sheet.12" ShapeID="_x0000_i1029" DrawAspect="Content" ObjectID="_1471688938" r:id="rId22"/>
        </w:object>
      </w:r>
    </w:p>
    <w:p w:rsidR="00EC5440" w:rsidRDefault="00EC5440" w:rsidP="00A330BA">
      <w:pPr>
        <w:jc w:val="center"/>
        <w:rPr>
          <w:color w:val="FF0000"/>
        </w:rPr>
      </w:pPr>
    </w:p>
    <w:p w:rsidR="00A702C1" w:rsidRDefault="00A702C1" w:rsidP="0099228D">
      <w:pPr>
        <w:jc w:val="both"/>
        <w:rPr>
          <w:rFonts w:ascii="Times New Roman" w:hAnsi="Times New Roman" w:cs="Times New Roman"/>
          <w:sz w:val="24"/>
          <w:szCs w:val="24"/>
          <w:lang w:val="sr-Cyrl-RS"/>
        </w:rPr>
      </w:pPr>
    </w:p>
    <w:p w:rsidR="00177B9E" w:rsidRDefault="006F0FE4" w:rsidP="0099228D">
      <w:pPr>
        <w:jc w:val="both"/>
        <w:rPr>
          <w:rFonts w:ascii="Times New Roman" w:hAnsi="Times New Roman" w:cs="Times New Roman"/>
          <w:sz w:val="24"/>
          <w:szCs w:val="24"/>
        </w:rPr>
      </w:pPr>
      <w:r>
        <w:rPr>
          <w:rFonts w:ascii="Times New Roman" w:hAnsi="Times New Roman" w:cs="Times New Roman"/>
          <w:sz w:val="24"/>
          <w:szCs w:val="24"/>
        </w:rPr>
        <w:lastRenderedPageBreak/>
        <w:t>Интензивирање преговарачког процеса са ЕУ подразумева да ће учешће преговарачког поступка без објављивања бити један од два кључна параметра</w:t>
      </w:r>
      <w:r w:rsidR="00867110">
        <w:rPr>
          <w:rStyle w:val="FootnoteReference"/>
          <w:rFonts w:ascii="Times New Roman" w:hAnsi="Times New Roman" w:cs="Times New Roman"/>
          <w:sz w:val="24"/>
          <w:szCs w:val="24"/>
        </w:rPr>
        <w:footnoteReference w:id="1"/>
      </w:r>
      <w:r>
        <w:rPr>
          <w:rFonts w:ascii="Times New Roman" w:hAnsi="Times New Roman" w:cs="Times New Roman"/>
          <w:sz w:val="24"/>
          <w:szCs w:val="24"/>
        </w:rPr>
        <w:t xml:space="preserve"> чије ће кретање бити у фокусу праћ</w:t>
      </w:r>
      <w:r w:rsidR="0032145B">
        <w:rPr>
          <w:rFonts w:ascii="Times New Roman" w:hAnsi="Times New Roman" w:cs="Times New Roman"/>
          <w:sz w:val="24"/>
          <w:szCs w:val="24"/>
        </w:rPr>
        <w:t>ења од стране Европске комисије, као део остваривања циља успостављања јединственог унутрашњег тржишта ЕУ на коме неће бити препрека слободном деловању конкуренције за добијање послова које додељује држава. У том контексту</w:t>
      </w:r>
      <w:r w:rsidR="00C2377B">
        <w:rPr>
          <w:rFonts w:ascii="Times New Roman" w:hAnsi="Times New Roman" w:cs="Times New Roman"/>
          <w:sz w:val="24"/>
          <w:szCs w:val="24"/>
        </w:rPr>
        <w:t>,</w:t>
      </w:r>
      <w:r w:rsidR="0032145B">
        <w:rPr>
          <w:rFonts w:ascii="Times New Roman" w:hAnsi="Times New Roman" w:cs="Times New Roman"/>
          <w:sz w:val="24"/>
          <w:szCs w:val="24"/>
        </w:rPr>
        <w:t xml:space="preserve"> важно је </w:t>
      </w:r>
      <w:r w:rsidR="00C2377B">
        <w:rPr>
          <w:rFonts w:ascii="Times New Roman" w:hAnsi="Times New Roman" w:cs="Times New Roman"/>
          <w:sz w:val="24"/>
          <w:szCs w:val="24"/>
        </w:rPr>
        <w:t>одржати остварену заступљеност</w:t>
      </w:r>
      <w:r w:rsidR="0032145B">
        <w:rPr>
          <w:rFonts w:ascii="Times New Roman" w:hAnsi="Times New Roman" w:cs="Times New Roman"/>
          <w:sz w:val="24"/>
          <w:szCs w:val="24"/>
        </w:rPr>
        <w:t xml:space="preserve"> преговарачких поступака без објављивања</w:t>
      </w:r>
      <w:r w:rsidR="0044645B">
        <w:rPr>
          <w:rFonts w:ascii="Times New Roman" w:hAnsi="Times New Roman" w:cs="Times New Roman"/>
          <w:sz w:val="24"/>
          <w:szCs w:val="24"/>
        </w:rPr>
        <w:t>,</w:t>
      </w:r>
      <w:r w:rsidR="00A702C1">
        <w:rPr>
          <w:rFonts w:ascii="Times New Roman" w:hAnsi="Times New Roman" w:cs="Times New Roman"/>
          <w:sz w:val="24"/>
          <w:szCs w:val="24"/>
          <w:lang w:val="sr-Cyrl-RS"/>
        </w:rPr>
        <w:t xml:space="preserve"> </w:t>
      </w:r>
      <w:r w:rsidR="00C2377B">
        <w:rPr>
          <w:rFonts w:ascii="Times New Roman" w:hAnsi="Times New Roman" w:cs="Times New Roman"/>
          <w:sz w:val="24"/>
          <w:szCs w:val="24"/>
        </w:rPr>
        <w:t xml:space="preserve">чиме потврђујемо да се овај поступак не користи неосновано, већ у мери која се сматра стандардом у ЕУ, тј. </w:t>
      </w:r>
      <w:r w:rsidR="00646862">
        <w:rPr>
          <w:rFonts w:ascii="Times New Roman" w:hAnsi="Times New Roman" w:cs="Times New Roman"/>
          <w:sz w:val="24"/>
          <w:szCs w:val="24"/>
        </w:rPr>
        <w:t>око 5</w:t>
      </w:r>
      <w:r w:rsidR="0032145B">
        <w:rPr>
          <w:rFonts w:ascii="Times New Roman" w:hAnsi="Times New Roman" w:cs="Times New Roman"/>
          <w:sz w:val="24"/>
          <w:szCs w:val="24"/>
        </w:rPr>
        <w:t>%</w:t>
      </w:r>
      <w:r w:rsidR="00646862">
        <w:rPr>
          <w:rStyle w:val="FootnoteReference"/>
          <w:rFonts w:ascii="Times New Roman" w:hAnsi="Times New Roman" w:cs="Times New Roman"/>
          <w:sz w:val="24"/>
          <w:szCs w:val="24"/>
        </w:rPr>
        <w:footnoteReference w:id="2"/>
      </w:r>
      <w:r w:rsidR="0032145B">
        <w:rPr>
          <w:rFonts w:ascii="Times New Roman" w:hAnsi="Times New Roman" w:cs="Times New Roman"/>
          <w:sz w:val="24"/>
          <w:szCs w:val="24"/>
        </w:rPr>
        <w:t xml:space="preserve">. </w:t>
      </w:r>
    </w:p>
    <w:p w:rsidR="00FA77D4" w:rsidRPr="00641698" w:rsidRDefault="0032145B" w:rsidP="00A702C1">
      <w:pPr>
        <w:jc w:val="both"/>
        <w:rPr>
          <w:rFonts w:ascii="Times New Roman" w:hAnsi="Times New Roman" w:cs="Times New Roman"/>
          <w:sz w:val="24"/>
          <w:szCs w:val="24"/>
        </w:rPr>
      </w:pPr>
      <w:r>
        <w:rPr>
          <w:rFonts w:ascii="Times New Roman" w:hAnsi="Times New Roman" w:cs="Times New Roman"/>
          <w:sz w:val="24"/>
          <w:szCs w:val="24"/>
        </w:rPr>
        <w:t>П</w:t>
      </w:r>
      <w:r w:rsidR="001D5EC8">
        <w:rPr>
          <w:rFonts w:ascii="Times New Roman" w:hAnsi="Times New Roman" w:cs="Times New Roman"/>
          <w:sz w:val="24"/>
          <w:szCs w:val="24"/>
        </w:rPr>
        <w:t xml:space="preserve">оређења ради, учешће преговарачког поступка без објављивања јавног позива износило је у Хрватској </w:t>
      </w:r>
      <w:r w:rsidR="0098735A">
        <w:rPr>
          <w:rFonts w:ascii="Times New Roman" w:hAnsi="Times New Roman" w:cs="Times New Roman"/>
          <w:sz w:val="24"/>
          <w:szCs w:val="24"/>
        </w:rPr>
        <w:t xml:space="preserve"> 2012. године </w:t>
      </w:r>
      <w:r>
        <w:rPr>
          <w:rFonts w:ascii="Times New Roman" w:hAnsi="Times New Roman" w:cs="Times New Roman"/>
          <w:sz w:val="24"/>
          <w:szCs w:val="24"/>
        </w:rPr>
        <w:t>6,9%</w:t>
      </w:r>
      <w:r w:rsidR="0098735A">
        <w:rPr>
          <w:rStyle w:val="FootnoteReference"/>
          <w:rFonts w:ascii="Times New Roman" w:hAnsi="Times New Roman" w:cs="Times New Roman"/>
          <w:sz w:val="24"/>
          <w:szCs w:val="24"/>
        </w:rPr>
        <w:footnoteReference w:id="3"/>
      </w:r>
      <w:r w:rsidR="001D5EC8">
        <w:rPr>
          <w:rFonts w:ascii="Times New Roman" w:hAnsi="Times New Roman" w:cs="Times New Roman"/>
          <w:sz w:val="24"/>
          <w:szCs w:val="24"/>
        </w:rPr>
        <w:t xml:space="preserve">, док је </w:t>
      </w:r>
      <w:r w:rsidR="0098735A">
        <w:rPr>
          <w:rFonts w:ascii="Times New Roman" w:hAnsi="Times New Roman" w:cs="Times New Roman"/>
          <w:sz w:val="24"/>
          <w:szCs w:val="24"/>
        </w:rPr>
        <w:t>отворени поступак учествовао са 89,5%</w:t>
      </w:r>
      <w:r w:rsidR="0098735A">
        <w:rPr>
          <w:rStyle w:val="FootnoteReference"/>
          <w:rFonts w:ascii="Times New Roman" w:hAnsi="Times New Roman" w:cs="Times New Roman"/>
          <w:sz w:val="24"/>
          <w:szCs w:val="24"/>
        </w:rPr>
        <w:footnoteReference w:id="4"/>
      </w:r>
      <w:r w:rsidR="0098735A">
        <w:rPr>
          <w:rFonts w:ascii="Times New Roman" w:hAnsi="Times New Roman" w:cs="Times New Roman"/>
          <w:sz w:val="24"/>
          <w:szCs w:val="24"/>
        </w:rPr>
        <w:t>.</w:t>
      </w:r>
      <w:r w:rsidR="00A702C1">
        <w:rPr>
          <w:rFonts w:ascii="Times New Roman" w:hAnsi="Times New Roman" w:cs="Times New Roman"/>
          <w:sz w:val="24"/>
          <w:szCs w:val="24"/>
          <w:lang w:val="sr-Cyrl-RS"/>
        </w:rPr>
        <w:t xml:space="preserve"> </w:t>
      </w:r>
      <w:r w:rsidR="00FA77D4">
        <w:rPr>
          <w:rFonts w:ascii="Times New Roman" w:hAnsi="Times New Roman" w:cs="Times New Roman"/>
          <w:sz w:val="24"/>
          <w:szCs w:val="24"/>
        </w:rPr>
        <w:t>Сличн</w:t>
      </w:r>
      <w:r w:rsidR="001D5EC8">
        <w:rPr>
          <w:rFonts w:ascii="Times New Roman" w:hAnsi="Times New Roman" w:cs="Times New Roman"/>
          <w:sz w:val="24"/>
          <w:szCs w:val="24"/>
        </w:rPr>
        <w:t xml:space="preserve">а структура је и у Црној Гори која је, почетком године отворила </w:t>
      </w:r>
      <w:r w:rsidR="00237D96">
        <w:rPr>
          <w:rFonts w:ascii="Times New Roman" w:hAnsi="Times New Roman" w:cs="Times New Roman"/>
          <w:sz w:val="24"/>
          <w:szCs w:val="24"/>
        </w:rPr>
        <w:t>преговоре за поглавље 5, без предуслова (“benchmarks”)</w:t>
      </w:r>
      <w:r w:rsidR="00FA77D4">
        <w:rPr>
          <w:rFonts w:ascii="Times New Roman" w:hAnsi="Times New Roman" w:cs="Times New Roman"/>
          <w:sz w:val="24"/>
          <w:szCs w:val="24"/>
        </w:rPr>
        <w:t xml:space="preserve">. </w:t>
      </w:r>
      <w:r w:rsidR="00E83A48">
        <w:rPr>
          <w:rFonts w:ascii="Times New Roman" w:hAnsi="Times New Roman" w:cs="Times New Roman"/>
          <w:sz w:val="24"/>
          <w:szCs w:val="24"/>
        </w:rPr>
        <w:t>Према  Годишњем извештају за 2013. годину</w:t>
      </w:r>
      <w:r w:rsidR="00E83A48">
        <w:rPr>
          <w:rStyle w:val="FootnoteReference"/>
          <w:rFonts w:ascii="Times New Roman" w:hAnsi="Times New Roman" w:cs="Times New Roman"/>
          <w:sz w:val="24"/>
          <w:szCs w:val="24"/>
        </w:rPr>
        <w:footnoteReference w:id="5"/>
      </w:r>
      <w:r w:rsidR="00E83A48">
        <w:rPr>
          <w:rFonts w:ascii="Times New Roman" w:hAnsi="Times New Roman" w:cs="Times New Roman"/>
          <w:sz w:val="24"/>
          <w:szCs w:val="24"/>
        </w:rPr>
        <w:t xml:space="preserve"> преговарачки поступак без претходног објављивања учествовао је</w:t>
      </w:r>
      <w:r w:rsidR="00A702C1">
        <w:rPr>
          <w:rFonts w:ascii="Times New Roman" w:hAnsi="Times New Roman" w:cs="Times New Roman"/>
          <w:sz w:val="24"/>
          <w:szCs w:val="24"/>
          <w:lang w:val="sr-Cyrl-RS"/>
        </w:rPr>
        <w:t xml:space="preserve"> </w:t>
      </w:r>
      <w:r w:rsidR="00E83A48">
        <w:rPr>
          <w:rFonts w:ascii="Times New Roman" w:hAnsi="Times New Roman" w:cs="Times New Roman"/>
          <w:sz w:val="24"/>
          <w:szCs w:val="24"/>
        </w:rPr>
        <w:t>са 3,3%, а отворени поступак са 81%</w:t>
      </w:r>
      <w:r w:rsidR="00641698">
        <w:rPr>
          <w:rFonts w:ascii="Times New Roman" w:hAnsi="Times New Roman" w:cs="Times New Roman"/>
          <w:sz w:val="24"/>
          <w:szCs w:val="24"/>
        </w:rPr>
        <w:t>.</w:t>
      </w:r>
    </w:p>
    <w:p w:rsidR="001E2BD6" w:rsidRDefault="00B43E94" w:rsidP="00E83A48">
      <w:pPr>
        <w:jc w:val="both"/>
        <w:rPr>
          <w:rFonts w:ascii="Times New Roman" w:hAnsi="Times New Roman" w:cs="Times New Roman"/>
          <w:sz w:val="24"/>
          <w:szCs w:val="24"/>
        </w:rPr>
      </w:pPr>
      <w:r>
        <w:rPr>
          <w:rFonts w:ascii="Times New Roman" w:hAnsi="Times New Roman" w:cs="Times New Roman"/>
          <w:sz w:val="24"/>
          <w:szCs w:val="24"/>
        </w:rPr>
        <w:t>С</w:t>
      </w:r>
      <w:r w:rsidR="00D56073">
        <w:rPr>
          <w:rFonts w:ascii="Times New Roman" w:hAnsi="Times New Roman" w:cs="Times New Roman"/>
          <w:sz w:val="24"/>
          <w:szCs w:val="24"/>
        </w:rPr>
        <w:t>ледеће важно питање везано за преговарачке поступке без објављивања јесте како су они распоређени по категоријама наручилаца.</w:t>
      </w:r>
      <w:r w:rsidR="008D1F00">
        <w:rPr>
          <w:rFonts w:ascii="Times New Roman" w:hAnsi="Times New Roman" w:cs="Times New Roman"/>
          <w:sz w:val="24"/>
          <w:szCs w:val="24"/>
        </w:rPr>
        <w:t xml:space="preserve"> Другим речима, </w:t>
      </w:r>
      <w:r>
        <w:rPr>
          <w:rFonts w:ascii="Times New Roman" w:hAnsi="Times New Roman" w:cs="Times New Roman"/>
          <w:sz w:val="24"/>
          <w:szCs w:val="24"/>
        </w:rPr>
        <w:t xml:space="preserve">битно је </w:t>
      </w:r>
      <w:r w:rsidR="008D1F00">
        <w:rPr>
          <w:rFonts w:ascii="Times New Roman" w:hAnsi="Times New Roman" w:cs="Times New Roman"/>
          <w:sz w:val="24"/>
          <w:szCs w:val="24"/>
        </w:rPr>
        <w:t>да се сагледа код којих категорија наручилаца је био најзаступљенији преговарачки поступак без објављивања (</w:t>
      </w:r>
      <w:r w:rsidR="008D1F00" w:rsidRPr="00FF31E5">
        <w:rPr>
          <w:rFonts w:ascii="Times New Roman" w:hAnsi="Times New Roman" w:cs="Times New Roman"/>
          <w:sz w:val="24"/>
          <w:szCs w:val="24"/>
        </w:rPr>
        <w:t xml:space="preserve">Табела </w:t>
      </w:r>
      <w:r w:rsidR="0018536B" w:rsidRPr="00FF31E5">
        <w:rPr>
          <w:rFonts w:ascii="Times New Roman" w:hAnsi="Times New Roman" w:cs="Times New Roman"/>
          <w:sz w:val="24"/>
          <w:szCs w:val="24"/>
        </w:rPr>
        <w:t>4</w:t>
      </w:r>
      <w:r w:rsidR="008D1F00">
        <w:rPr>
          <w:rFonts w:ascii="Times New Roman" w:hAnsi="Times New Roman" w:cs="Times New Roman"/>
          <w:sz w:val="24"/>
          <w:szCs w:val="24"/>
        </w:rPr>
        <w:t>).</w:t>
      </w:r>
    </w:p>
    <w:p w:rsidR="00291C91" w:rsidRDefault="00291C91" w:rsidP="00E83A48">
      <w:pPr>
        <w:jc w:val="both"/>
        <w:rPr>
          <w:rFonts w:ascii="Times New Roman" w:hAnsi="Times New Roman" w:cs="Times New Roman"/>
          <w:sz w:val="24"/>
          <w:szCs w:val="24"/>
        </w:rPr>
      </w:pPr>
    </w:p>
    <w:p w:rsidR="00291C91" w:rsidRDefault="00291C91" w:rsidP="00E83A48">
      <w:pPr>
        <w:jc w:val="both"/>
        <w:rPr>
          <w:rFonts w:ascii="Times New Roman" w:hAnsi="Times New Roman" w:cs="Times New Roman"/>
          <w:sz w:val="24"/>
          <w:szCs w:val="24"/>
        </w:rPr>
      </w:pPr>
    </w:p>
    <w:p w:rsidR="00291C91" w:rsidRDefault="00291C91" w:rsidP="00E83A48">
      <w:pPr>
        <w:jc w:val="both"/>
        <w:rPr>
          <w:rFonts w:ascii="Times New Roman" w:hAnsi="Times New Roman" w:cs="Times New Roman"/>
          <w:sz w:val="24"/>
          <w:szCs w:val="24"/>
        </w:rPr>
      </w:pPr>
    </w:p>
    <w:p w:rsidR="00291C91" w:rsidRDefault="00291C91" w:rsidP="00E83A48">
      <w:pPr>
        <w:jc w:val="both"/>
        <w:rPr>
          <w:rFonts w:ascii="Times New Roman" w:hAnsi="Times New Roman" w:cs="Times New Roman"/>
          <w:sz w:val="24"/>
          <w:szCs w:val="24"/>
        </w:rPr>
      </w:pPr>
    </w:p>
    <w:p w:rsidR="00291C91" w:rsidRDefault="00291C91" w:rsidP="00E83A48">
      <w:pPr>
        <w:jc w:val="both"/>
        <w:rPr>
          <w:rFonts w:ascii="Times New Roman" w:hAnsi="Times New Roman" w:cs="Times New Roman"/>
          <w:sz w:val="24"/>
          <w:szCs w:val="24"/>
        </w:rPr>
      </w:pPr>
    </w:p>
    <w:p w:rsidR="00291C91" w:rsidRDefault="00291C91" w:rsidP="00E83A48">
      <w:pPr>
        <w:jc w:val="both"/>
        <w:rPr>
          <w:rFonts w:ascii="Times New Roman" w:hAnsi="Times New Roman" w:cs="Times New Roman"/>
          <w:sz w:val="24"/>
          <w:szCs w:val="24"/>
        </w:rPr>
      </w:pPr>
    </w:p>
    <w:p w:rsidR="00291C91" w:rsidRDefault="00291C91" w:rsidP="00E83A48">
      <w:pPr>
        <w:jc w:val="both"/>
        <w:rPr>
          <w:rFonts w:ascii="Times New Roman" w:hAnsi="Times New Roman" w:cs="Times New Roman"/>
          <w:sz w:val="24"/>
          <w:szCs w:val="24"/>
        </w:rPr>
      </w:pPr>
    </w:p>
    <w:p w:rsidR="00291C91" w:rsidRDefault="00291C91" w:rsidP="00E83A48">
      <w:pPr>
        <w:jc w:val="both"/>
        <w:rPr>
          <w:rFonts w:ascii="Times New Roman" w:hAnsi="Times New Roman" w:cs="Times New Roman"/>
          <w:sz w:val="24"/>
          <w:szCs w:val="24"/>
        </w:rPr>
      </w:pPr>
    </w:p>
    <w:p w:rsidR="00291C91" w:rsidRDefault="00291C91" w:rsidP="00E83A48">
      <w:pPr>
        <w:jc w:val="both"/>
        <w:rPr>
          <w:rFonts w:ascii="Times New Roman" w:hAnsi="Times New Roman" w:cs="Times New Roman"/>
          <w:sz w:val="24"/>
          <w:szCs w:val="24"/>
        </w:rPr>
      </w:pPr>
    </w:p>
    <w:p w:rsidR="00291C91" w:rsidRPr="00291C91" w:rsidRDefault="00291C91" w:rsidP="00E83A48">
      <w:pPr>
        <w:jc w:val="both"/>
        <w:rPr>
          <w:rFonts w:ascii="Times New Roman" w:hAnsi="Times New Roman" w:cs="Times New Roman"/>
          <w:color w:val="FF0000"/>
          <w:sz w:val="24"/>
          <w:szCs w:val="24"/>
        </w:rPr>
      </w:pPr>
    </w:p>
    <w:p w:rsidR="00BE519C" w:rsidRPr="009B4DA4" w:rsidRDefault="009B4DA4" w:rsidP="003B365F">
      <w:pPr>
        <w:rPr>
          <w:rFonts w:ascii="Times New Roman" w:hAnsi="Times New Roman" w:cs="Times New Roman"/>
          <w:b/>
          <w:sz w:val="24"/>
          <w:szCs w:val="24"/>
        </w:rPr>
      </w:pPr>
      <w:r w:rsidRPr="009B4DA4">
        <w:rPr>
          <w:rFonts w:ascii="Times New Roman" w:hAnsi="Times New Roman" w:cs="Times New Roman"/>
          <w:b/>
          <w:sz w:val="24"/>
          <w:szCs w:val="24"/>
          <w:lang w:val="sr-Cyrl-RS"/>
        </w:rPr>
        <w:lastRenderedPageBreak/>
        <w:t xml:space="preserve">             </w:t>
      </w:r>
      <w:r w:rsidR="002A1964" w:rsidRPr="009B4DA4">
        <w:rPr>
          <w:rFonts w:ascii="Times New Roman" w:hAnsi="Times New Roman" w:cs="Times New Roman"/>
          <w:b/>
          <w:sz w:val="24"/>
          <w:szCs w:val="24"/>
        </w:rPr>
        <w:t>Табела 4</w:t>
      </w:r>
    </w:p>
    <w:tbl>
      <w:tblPr>
        <w:tblStyle w:val="TableGrid"/>
        <w:tblW w:w="9124" w:type="dxa"/>
        <w:jc w:val="center"/>
        <w:tblInd w:w="-548" w:type="dxa"/>
        <w:tblLook w:val="0000" w:firstRow="0" w:lastRow="0" w:firstColumn="0" w:lastColumn="0" w:noHBand="0" w:noVBand="0"/>
      </w:tblPr>
      <w:tblGrid>
        <w:gridCol w:w="2261"/>
        <w:gridCol w:w="923"/>
        <w:gridCol w:w="521"/>
        <w:gridCol w:w="1302"/>
        <w:gridCol w:w="521"/>
        <w:gridCol w:w="923"/>
        <w:gridCol w:w="666"/>
        <w:gridCol w:w="1341"/>
        <w:gridCol w:w="666"/>
      </w:tblGrid>
      <w:tr w:rsidR="002A1964" w:rsidRPr="002A1964" w:rsidTr="001C4CC4">
        <w:trPr>
          <w:trHeight w:val="840"/>
          <w:jc w:val="center"/>
        </w:trPr>
        <w:tc>
          <w:tcPr>
            <w:tcW w:w="9124" w:type="dxa"/>
            <w:gridSpan w:val="9"/>
            <w:tcBorders>
              <w:top w:val="single" w:sz="18" w:space="0" w:color="auto"/>
              <w:left w:val="single" w:sz="18" w:space="0" w:color="auto"/>
              <w:right w:val="single" w:sz="18" w:space="0" w:color="auto"/>
            </w:tcBorders>
            <w:vAlign w:val="center"/>
          </w:tcPr>
          <w:p w:rsidR="00797B1A" w:rsidRDefault="002A1964" w:rsidP="00797B1A">
            <w:pPr>
              <w:jc w:val="center"/>
              <w:rPr>
                <w:rFonts w:ascii="Times New Roman" w:hAnsi="Times New Roman" w:cs="Times New Roman"/>
                <w:b/>
                <w:sz w:val="24"/>
                <w:szCs w:val="24"/>
                <w:lang w:val="sr-Cyrl-CS"/>
              </w:rPr>
            </w:pPr>
            <w:r w:rsidRPr="00797B1A">
              <w:rPr>
                <w:rFonts w:ascii="Times New Roman" w:hAnsi="Times New Roman" w:cs="Times New Roman"/>
                <w:b/>
                <w:sz w:val="24"/>
                <w:szCs w:val="24"/>
                <w:lang w:val="sr-Cyrl-CS"/>
              </w:rPr>
              <w:t>Упоредни преглед бројчане и вредносне структуре</w:t>
            </w:r>
          </w:p>
          <w:p w:rsidR="002A1964" w:rsidRPr="00797B1A" w:rsidRDefault="002A1964" w:rsidP="00797B1A">
            <w:pPr>
              <w:jc w:val="center"/>
              <w:rPr>
                <w:rFonts w:ascii="Times New Roman" w:hAnsi="Times New Roman" w:cs="Times New Roman"/>
                <w:b/>
                <w:sz w:val="24"/>
                <w:szCs w:val="24"/>
              </w:rPr>
            </w:pPr>
            <w:r w:rsidRPr="00797B1A">
              <w:rPr>
                <w:rFonts w:ascii="Times New Roman" w:hAnsi="Times New Roman" w:cs="Times New Roman"/>
                <w:b/>
                <w:sz w:val="24"/>
                <w:szCs w:val="24"/>
                <w:lang w:val="sr-Cyrl-CS"/>
              </w:rPr>
              <w:t>преговарачког поступка без објављивања позива за подношење понуда</w:t>
            </w:r>
          </w:p>
        </w:tc>
      </w:tr>
      <w:tr w:rsidR="002A1964" w:rsidRPr="002A1964" w:rsidTr="001C4CC4">
        <w:tblPrEx>
          <w:tblLook w:val="04A0" w:firstRow="1" w:lastRow="0" w:firstColumn="1" w:lastColumn="0" w:noHBand="0" w:noVBand="1"/>
        </w:tblPrEx>
        <w:trPr>
          <w:jc w:val="center"/>
        </w:trPr>
        <w:tc>
          <w:tcPr>
            <w:tcW w:w="2263" w:type="dxa"/>
            <w:tcBorders>
              <w:top w:val="single" w:sz="18" w:space="0" w:color="auto"/>
              <w:left w:val="single" w:sz="18" w:space="0" w:color="auto"/>
              <w:bottom w:val="single" w:sz="18" w:space="0" w:color="auto"/>
              <w:right w:val="single" w:sz="18" w:space="0" w:color="auto"/>
            </w:tcBorders>
            <w:vAlign w:val="center"/>
          </w:tcPr>
          <w:p w:rsidR="002A1964" w:rsidRPr="002A1964" w:rsidRDefault="002A1964" w:rsidP="00A8404D">
            <w:pPr>
              <w:jc w:val="center"/>
              <w:rPr>
                <w:rFonts w:ascii="Times New Roman" w:hAnsi="Times New Roman" w:cs="Times New Roman"/>
                <w:b/>
                <w:sz w:val="20"/>
                <w:szCs w:val="20"/>
              </w:rPr>
            </w:pPr>
            <w:r w:rsidRPr="002A1964">
              <w:rPr>
                <w:rFonts w:ascii="Times New Roman" w:hAnsi="Times New Roman" w:cs="Times New Roman"/>
                <w:b/>
                <w:sz w:val="20"/>
                <w:szCs w:val="20"/>
              </w:rPr>
              <w:t>Период</w:t>
            </w:r>
          </w:p>
        </w:tc>
        <w:tc>
          <w:tcPr>
            <w:tcW w:w="3261" w:type="dxa"/>
            <w:gridSpan w:val="4"/>
            <w:tcBorders>
              <w:top w:val="single" w:sz="18" w:space="0" w:color="auto"/>
              <w:left w:val="single" w:sz="18" w:space="0" w:color="auto"/>
              <w:bottom w:val="single" w:sz="18" w:space="0" w:color="auto"/>
              <w:right w:val="single" w:sz="18" w:space="0" w:color="auto"/>
            </w:tcBorders>
            <w:vAlign w:val="center"/>
          </w:tcPr>
          <w:p w:rsidR="002A1964" w:rsidRPr="002A1964" w:rsidRDefault="002A1964" w:rsidP="00A8404D">
            <w:pPr>
              <w:jc w:val="center"/>
              <w:rPr>
                <w:rFonts w:ascii="Times New Roman" w:hAnsi="Times New Roman" w:cs="Times New Roman"/>
                <w:b/>
                <w:sz w:val="20"/>
                <w:szCs w:val="20"/>
                <w:lang w:val="sr-Cyrl-CS"/>
              </w:rPr>
            </w:pPr>
            <w:r w:rsidRPr="002A1964">
              <w:rPr>
                <w:rFonts w:ascii="Times New Roman" w:hAnsi="Times New Roman" w:cs="Times New Roman"/>
                <w:b/>
                <w:sz w:val="20"/>
                <w:szCs w:val="20"/>
              </w:rPr>
              <w:t>201</w:t>
            </w:r>
            <w:r w:rsidRPr="002A1964">
              <w:rPr>
                <w:rFonts w:ascii="Times New Roman" w:hAnsi="Times New Roman" w:cs="Times New Roman"/>
                <w:b/>
                <w:sz w:val="20"/>
                <w:szCs w:val="20"/>
                <w:lang w:val="sr-Cyrl-CS"/>
              </w:rPr>
              <w:t>3.</w:t>
            </w:r>
          </w:p>
          <w:p w:rsidR="002A1964" w:rsidRPr="002A1964" w:rsidRDefault="00944134" w:rsidP="001C4CC4">
            <w:pPr>
              <w:jc w:val="center"/>
              <w:rPr>
                <w:rFonts w:ascii="Times New Roman" w:hAnsi="Times New Roman" w:cs="Times New Roman"/>
                <w:b/>
                <w:sz w:val="20"/>
                <w:szCs w:val="20"/>
                <w:lang w:val="sr-Cyrl-CS"/>
              </w:rPr>
            </w:pPr>
            <w:r>
              <w:rPr>
                <w:rFonts w:ascii="Times New Roman" w:hAnsi="Times New Roman" w:cs="Times New Roman"/>
                <w:b/>
                <w:sz w:val="20"/>
                <w:szCs w:val="20"/>
                <w:lang w:val="sr-Cyrl-CS"/>
              </w:rPr>
              <w:t>прво</w:t>
            </w:r>
            <w:r w:rsidR="002A1964" w:rsidRPr="002A1964">
              <w:rPr>
                <w:rFonts w:ascii="Times New Roman" w:hAnsi="Times New Roman" w:cs="Times New Roman"/>
                <w:b/>
                <w:sz w:val="20"/>
                <w:szCs w:val="20"/>
                <w:lang w:val="sr-Cyrl-CS"/>
              </w:rPr>
              <w:t xml:space="preserve"> </w:t>
            </w:r>
            <w:r w:rsidR="001C4CC4">
              <w:rPr>
                <w:rFonts w:ascii="Times New Roman" w:hAnsi="Times New Roman" w:cs="Times New Roman"/>
                <w:b/>
                <w:sz w:val="20"/>
                <w:szCs w:val="20"/>
                <w:lang w:val="sr-Cyrl-CS"/>
              </w:rPr>
              <w:t>полугодиште</w:t>
            </w:r>
          </w:p>
        </w:tc>
        <w:tc>
          <w:tcPr>
            <w:tcW w:w="3600" w:type="dxa"/>
            <w:gridSpan w:val="4"/>
            <w:tcBorders>
              <w:top w:val="single" w:sz="18" w:space="0" w:color="auto"/>
              <w:left w:val="single" w:sz="18" w:space="0" w:color="auto"/>
              <w:bottom w:val="single" w:sz="18" w:space="0" w:color="auto"/>
              <w:right w:val="single" w:sz="18" w:space="0" w:color="auto"/>
            </w:tcBorders>
            <w:vAlign w:val="center"/>
          </w:tcPr>
          <w:p w:rsidR="002A1964" w:rsidRPr="002A1964" w:rsidRDefault="002A1964" w:rsidP="00A8404D">
            <w:pPr>
              <w:jc w:val="center"/>
              <w:rPr>
                <w:rFonts w:ascii="Times New Roman" w:hAnsi="Times New Roman" w:cs="Times New Roman"/>
                <w:b/>
                <w:sz w:val="20"/>
                <w:szCs w:val="20"/>
              </w:rPr>
            </w:pPr>
            <w:r w:rsidRPr="002A1964">
              <w:rPr>
                <w:rFonts w:ascii="Times New Roman" w:hAnsi="Times New Roman" w:cs="Times New Roman"/>
                <w:b/>
                <w:sz w:val="20"/>
                <w:szCs w:val="20"/>
              </w:rPr>
              <w:t>2014.</w:t>
            </w:r>
          </w:p>
          <w:p w:rsidR="002A1964" w:rsidRPr="002A1964" w:rsidRDefault="0038763B" w:rsidP="001C4CC4">
            <w:pPr>
              <w:jc w:val="center"/>
              <w:rPr>
                <w:rFonts w:ascii="Times New Roman" w:hAnsi="Times New Roman" w:cs="Times New Roman"/>
                <w:b/>
                <w:sz w:val="20"/>
                <w:szCs w:val="20"/>
                <w:lang w:val="sr-Cyrl-CS"/>
              </w:rPr>
            </w:pPr>
            <w:r>
              <w:rPr>
                <w:rFonts w:ascii="Times New Roman" w:hAnsi="Times New Roman" w:cs="Times New Roman"/>
                <w:b/>
                <w:sz w:val="20"/>
                <w:szCs w:val="20"/>
                <w:lang w:val="sr-Cyrl-CS"/>
              </w:rPr>
              <w:t>прво</w:t>
            </w:r>
            <w:r w:rsidR="002A1964" w:rsidRPr="002A1964">
              <w:rPr>
                <w:rFonts w:ascii="Times New Roman" w:hAnsi="Times New Roman" w:cs="Times New Roman"/>
                <w:b/>
                <w:sz w:val="20"/>
                <w:szCs w:val="20"/>
                <w:lang w:val="sr-Cyrl-CS"/>
              </w:rPr>
              <w:t xml:space="preserve"> </w:t>
            </w:r>
            <w:r w:rsidR="001C4CC4">
              <w:rPr>
                <w:rFonts w:ascii="Times New Roman" w:hAnsi="Times New Roman" w:cs="Times New Roman"/>
                <w:b/>
                <w:sz w:val="20"/>
                <w:szCs w:val="20"/>
                <w:lang w:val="sr-Cyrl-CS"/>
              </w:rPr>
              <w:t>полугодиште</w:t>
            </w:r>
          </w:p>
        </w:tc>
      </w:tr>
      <w:tr w:rsidR="002A1964" w:rsidRPr="002A1964" w:rsidTr="001C4CC4">
        <w:tblPrEx>
          <w:tblLook w:val="04A0" w:firstRow="1" w:lastRow="0" w:firstColumn="1" w:lastColumn="0" w:noHBand="0" w:noVBand="1"/>
        </w:tblPrEx>
        <w:trPr>
          <w:jc w:val="center"/>
        </w:trPr>
        <w:tc>
          <w:tcPr>
            <w:tcW w:w="2263" w:type="dxa"/>
            <w:tcBorders>
              <w:top w:val="single" w:sz="18" w:space="0" w:color="auto"/>
              <w:left w:val="single" w:sz="18" w:space="0" w:color="auto"/>
              <w:right w:val="single" w:sz="18" w:space="0" w:color="auto"/>
            </w:tcBorders>
            <w:vAlign w:val="center"/>
          </w:tcPr>
          <w:p w:rsidR="002A1964" w:rsidRPr="002A1964" w:rsidRDefault="002A1964" w:rsidP="00A8404D">
            <w:pPr>
              <w:jc w:val="center"/>
              <w:rPr>
                <w:rFonts w:ascii="Times New Roman" w:hAnsi="Times New Roman" w:cs="Times New Roman"/>
                <w:b/>
                <w:sz w:val="20"/>
                <w:szCs w:val="20"/>
              </w:rPr>
            </w:pPr>
            <w:r w:rsidRPr="002A1964">
              <w:rPr>
                <w:rFonts w:ascii="Times New Roman" w:hAnsi="Times New Roman" w:cs="Times New Roman"/>
                <w:b/>
                <w:sz w:val="20"/>
                <w:szCs w:val="20"/>
              </w:rPr>
              <w:t>Категорија</w:t>
            </w:r>
          </w:p>
        </w:tc>
        <w:tc>
          <w:tcPr>
            <w:tcW w:w="923" w:type="dxa"/>
            <w:tcBorders>
              <w:top w:val="single" w:sz="18" w:space="0" w:color="auto"/>
              <w:left w:val="single" w:sz="18" w:space="0" w:color="auto"/>
            </w:tcBorders>
            <w:vAlign w:val="center"/>
          </w:tcPr>
          <w:p w:rsidR="002A1964" w:rsidRPr="002A1964" w:rsidRDefault="002A1964" w:rsidP="00A8404D">
            <w:pPr>
              <w:jc w:val="center"/>
              <w:rPr>
                <w:rFonts w:ascii="Times New Roman" w:hAnsi="Times New Roman" w:cs="Times New Roman"/>
                <w:sz w:val="20"/>
                <w:szCs w:val="20"/>
              </w:rPr>
            </w:pPr>
            <w:r w:rsidRPr="002A1964">
              <w:rPr>
                <w:rFonts w:ascii="Times New Roman" w:hAnsi="Times New Roman" w:cs="Times New Roman"/>
                <w:sz w:val="20"/>
                <w:szCs w:val="20"/>
              </w:rPr>
              <w:t>Број</w:t>
            </w:r>
          </w:p>
          <w:p w:rsidR="002A1964" w:rsidRPr="002A1964" w:rsidRDefault="002A1964" w:rsidP="00A8404D">
            <w:pPr>
              <w:jc w:val="center"/>
              <w:rPr>
                <w:rFonts w:ascii="Times New Roman" w:hAnsi="Times New Roman" w:cs="Times New Roman"/>
                <w:sz w:val="20"/>
                <w:szCs w:val="20"/>
              </w:rPr>
            </w:pPr>
            <w:r w:rsidRPr="002A1964">
              <w:rPr>
                <w:rFonts w:ascii="Times New Roman" w:hAnsi="Times New Roman" w:cs="Times New Roman"/>
                <w:sz w:val="20"/>
                <w:szCs w:val="20"/>
              </w:rPr>
              <w:t>Уговора</w:t>
            </w:r>
          </w:p>
        </w:tc>
        <w:tc>
          <w:tcPr>
            <w:tcW w:w="512" w:type="dxa"/>
            <w:tcBorders>
              <w:top w:val="single" w:sz="18" w:space="0" w:color="auto"/>
            </w:tcBorders>
            <w:vAlign w:val="center"/>
          </w:tcPr>
          <w:p w:rsidR="002A1964" w:rsidRPr="002A1964" w:rsidRDefault="002A1964" w:rsidP="00A8404D">
            <w:pPr>
              <w:jc w:val="center"/>
              <w:rPr>
                <w:rFonts w:ascii="Times New Roman" w:hAnsi="Times New Roman" w:cs="Times New Roman"/>
                <w:sz w:val="20"/>
                <w:szCs w:val="20"/>
              </w:rPr>
            </w:pPr>
            <w:r w:rsidRPr="002A1964">
              <w:rPr>
                <w:rFonts w:ascii="Times New Roman" w:hAnsi="Times New Roman" w:cs="Times New Roman"/>
                <w:sz w:val="20"/>
                <w:szCs w:val="20"/>
              </w:rPr>
              <w:t>%</w:t>
            </w:r>
          </w:p>
        </w:tc>
        <w:tc>
          <w:tcPr>
            <w:tcW w:w="1305" w:type="dxa"/>
            <w:tcBorders>
              <w:top w:val="single" w:sz="18" w:space="0" w:color="auto"/>
            </w:tcBorders>
            <w:vAlign w:val="center"/>
          </w:tcPr>
          <w:p w:rsidR="002A1964" w:rsidRPr="002A1964" w:rsidRDefault="002A1964" w:rsidP="00A8404D">
            <w:pPr>
              <w:jc w:val="center"/>
              <w:rPr>
                <w:rFonts w:ascii="Times New Roman" w:hAnsi="Times New Roman" w:cs="Times New Roman"/>
                <w:sz w:val="20"/>
                <w:szCs w:val="20"/>
              </w:rPr>
            </w:pPr>
            <w:r w:rsidRPr="002A1964">
              <w:rPr>
                <w:rFonts w:ascii="Times New Roman" w:hAnsi="Times New Roman" w:cs="Times New Roman"/>
                <w:sz w:val="20"/>
                <w:szCs w:val="20"/>
              </w:rPr>
              <w:t>Уговорена</w:t>
            </w:r>
          </w:p>
          <w:p w:rsidR="002A1964" w:rsidRPr="002A1964" w:rsidRDefault="002A1964" w:rsidP="00A8404D">
            <w:pPr>
              <w:jc w:val="center"/>
              <w:rPr>
                <w:rFonts w:ascii="Times New Roman" w:hAnsi="Times New Roman" w:cs="Times New Roman"/>
                <w:sz w:val="20"/>
                <w:szCs w:val="20"/>
              </w:rPr>
            </w:pPr>
            <w:r w:rsidRPr="002A1964">
              <w:rPr>
                <w:rFonts w:ascii="Times New Roman" w:hAnsi="Times New Roman" w:cs="Times New Roman"/>
                <w:sz w:val="20"/>
                <w:szCs w:val="20"/>
              </w:rPr>
              <w:t>вредност</w:t>
            </w:r>
          </w:p>
          <w:p w:rsidR="002A1964" w:rsidRPr="002A1964" w:rsidRDefault="002A1964" w:rsidP="00A8404D">
            <w:pPr>
              <w:jc w:val="center"/>
              <w:rPr>
                <w:rFonts w:ascii="Times New Roman" w:hAnsi="Times New Roman" w:cs="Times New Roman"/>
                <w:sz w:val="20"/>
                <w:szCs w:val="20"/>
              </w:rPr>
            </w:pPr>
            <w:r w:rsidRPr="002A1964">
              <w:rPr>
                <w:rFonts w:ascii="Times New Roman" w:hAnsi="Times New Roman" w:cs="Times New Roman"/>
                <w:sz w:val="20"/>
                <w:szCs w:val="20"/>
              </w:rPr>
              <w:t>без ПДВ-а*</w:t>
            </w:r>
          </w:p>
        </w:tc>
        <w:tc>
          <w:tcPr>
            <w:tcW w:w="521" w:type="dxa"/>
            <w:tcBorders>
              <w:top w:val="single" w:sz="18" w:space="0" w:color="auto"/>
              <w:right w:val="single" w:sz="18" w:space="0" w:color="auto"/>
            </w:tcBorders>
            <w:vAlign w:val="center"/>
          </w:tcPr>
          <w:p w:rsidR="002A1964" w:rsidRPr="002A1964" w:rsidRDefault="002A1964" w:rsidP="00A8404D">
            <w:pPr>
              <w:jc w:val="center"/>
              <w:rPr>
                <w:rFonts w:ascii="Times New Roman" w:hAnsi="Times New Roman" w:cs="Times New Roman"/>
                <w:sz w:val="20"/>
                <w:szCs w:val="20"/>
              </w:rPr>
            </w:pPr>
            <w:r w:rsidRPr="002A1964">
              <w:rPr>
                <w:rFonts w:ascii="Times New Roman" w:hAnsi="Times New Roman" w:cs="Times New Roman"/>
                <w:sz w:val="20"/>
                <w:szCs w:val="20"/>
              </w:rPr>
              <w:t>%</w:t>
            </w:r>
          </w:p>
        </w:tc>
        <w:tc>
          <w:tcPr>
            <w:tcW w:w="923" w:type="dxa"/>
            <w:tcBorders>
              <w:top w:val="single" w:sz="18" w:space="0" w:color="auto"/>
              <w:left w:val="single" w:sz="18" w:space="0" w:color="auto"/>
            </w:tcBorders>
            <w:vAlign w:val="center"/>
          </w:tcPr>
          <w:p w:rsidR="002A1964" w:rsidRPr="002A1964" w:rsidRDefault="002A1964" w:rsidP="00A8404D">
            <w:pPr>
              <w:jc w:val="center"/>
              <w:rPr>
                <w:rFonts w:ascii="Times New Roman" w:hAnsi="Times New Roman" w:cs="Times New Roman"/>
                <w:sz w:val="20"/>
                <w:szCs w:val="20"/>
              </w:rPr>
            </w:pPr>
            <w:r w:rsidRPr="002A1964">
              <w:rPr>
                <w:rFonts w:ascii="Times New Roman" w:hAnsi="Times New Roman" w:cs="Times New Roman"/>
                <w:sz w:val="20"/>
                <w:szCs w:val="20"/>
              </w:rPr>
              <w:t>Број</w:t>
            </w:r>
          </w:p>
          <w:p w:rsidR="002A1964" w:rsidRPr="002A1964" w:rsidRDefault="002A1964" w:rsidP="00A8404D">
            <w:pPr>
              <w:jc w:val="center"/>
              <w:rPr>
                <w:rFonts w:ascii="Times New Roman" w:hAnsi="Times New Roman" w:cs="Times New Roman"/>
                <w:sz w:val="20"/>
                <w:szCs w:val="20"/>
              </w:rPr>
            </w:pPr>
            <w:r w:rsidRPr="002A1964">
              <w:rPr>
                <w:rFonts w:ascii="Times New Roman" w:hAnsi="Times New Roman" w:cs="Times New Roman"/>
                <w:sz w:val="20"/>
                <w:szCs w:val="20"/>
              </w:rPr>
              <w:t>Уговора</w:t>
            </w:r>
          </w:p>
        </w:tc>
        <w:tc>
          <w:tcPr>
            <w:tcW w:w="666" w:type="dxa"/>
            <w:tcBorders>
              <w:top w:val="single" w:sz="18" w:space="0" w:color="auto"/>
            </w:tcBorders>
            <w:vAlign w:val="center"/>
          </w:tcPr>
          <w:p w:rsidR="002A1964" w:rsidRPr="002A1964" w:rsidRDefault="002A1964" w:rsidP="00A8404D">
            <w:pPr>
              <w:jc w:val="center"/>
              <w:rPr>
                <w:rFonts w:ascii="Times New Roman" w:hAnsi="Times New Roman" w:cs="Times New Roman"/>
                <w:sz w:val="20"/>
                <w:szCs w:val="20"/>
              </w:rPr>
            </w:pPr>
            <w:r w:rsidRPr="002A1964">
              <w:rPr>
                <w:rFonts w:ascii="Times New Roman" w:hAnsi="Times New Roman" w:cs="Times New Roman"/>
                <w:sz w:val="20"/>
                <w:szCs w:val="20"/>
              </w:rPr>
              <w:t>%</w:t>
            </w:r>
          </w:p>
        </w:tc>
        <w:tc>
          <w:tcPr>
            <w:tcW w:w="1345" w:type="dxa"/>
            <w:tcBorders>
              <w:top w:val="single" w:sz="18" w:space="0" w:color="auto"/>
            </w:tcBorders>
            <w:vAlign w:val="center"/>
          </w:tcPr>
          <w:p w:rsidR="002A1964" w:rsidRPr="002A1964" w:rsidRDefault="002A1964" w:rsidP="00A8404D">
            <w:pPr>
              <w:jc w:val="center"/>
              <w:rPr>
                <w:rFonts w:ascii="Times New Roman" w:hAnsi="Times New Roman" w:cs="Times New Roman"/>
                <w:sz w:val="20"/>
                <w:szCs w:val="20"/>
              </w:rPr>
            </w:pPr>
            <w:r w:rsidRPr="002A1964">
              <w:rPr>
                <w:rFonts w:ascii="Times New Roman" w:hAnsi="Times New Roman" w:cs="Times New Roman"/>
                <w:sz w:val="20"/>
                <w:szCs w:val="20"/>
              </w:rPr>
              <w:t>Уговорена</w:t>
            </w:r>
          </w:p>
          <w:p w:rsidR="002A1964" w:rsidRPr="002A1964" w:rsidRDefault="002A1964" w:rsidP="00A8404D">
            <w:pPr>
              <w:jc w:val="center"/>
              <w:rPr>
                <w:rFonts w:ascii="Times New Roman" w:hAnsi="Times New Roman" w:cs="Times New Roman"/>
                <w:sz w:val="20"/>
                <w:szCs w:val="20"/>
              </w:rPr>
            </w:pPr>
            <w:r w:rsidRPr="002A1964">
              <w:rPr>
                <w:rFonts w:ascii="Times New Roman" w:hAnsi="Times New Roman" w:cs="Times New Roman"/>
                <w:sz w:val="20"/>
                <w:szCs w:val="20"/>
              </w:rPr>
              <w:t>вредност</w:t>
            </w:r>
          </w:p>
          <w:p w:rsidR="002A1964" w:rsidRPr="002A1964" w:rsidRDefault="002A1964" w:rsidP="00A8404D">
            <w:pPr>
              <w:jc w:val="center"/>
              <w:rPr>
                <w:rFonts w:ascii="Times New Roman" w:hAnsi="Times New Roman" w:cs="Times New Roman"/>
                <w:sz w:val="20"/>
                <w:szCs w:val="20"/>
              </w:rPr>
            </w:pPr>
            <w:r w:rsidRPr="002A1964">
              <w:rPr>
                <w:rFonts w:ascii="Times New Roman" w:hAnsi="Times New Roman" w:cs="Times New Roman"/>
                <w:sz w:val="20"/>
                <w:szCs w:val="20"/>
              </w:rPr>
              <w:t>без ПДВ-а*</w:t>
            </w:r>
          </w:p>
        </w:tc>
        <w:tc>
          <w:tcPr>
            <w:tcW w:w="666" w:type="dxa"/>
            <w:tcBorders>
              <w:top w:val="single" w:sz="18" w:space="0" w:color="auto"/>
              <w:right w:val="single" w:sz="18" w:space="0" w:color="auto"/>
            </w:tcBorders>
            <w:vAlign w:val="center"/>
          </w:tcPr>
          <w:p w:rsidR="002A1964" w:rsidRPr="002A1964" w:rsidRDefault="002A1964" w:rsidP="00A8404D">
            <w:pPr>
              <w:jc w:val="center"/>
              <w:rPr>
                <w:rFonts w:ascii="Times New Roman" w:hAnsi="Times New Roman" w:cs="Times New Roman"/>
                <w:sz w:val="20"/>
                <w:szCs w:val="20"/>
              </w:rPr>
            </w:pPr>
            <w:r w:rsidRPr="002A1964">
              <w:rPr>
                <w:rFonts w:ascii="Times New Roman" w:hAnsi="Times New Roman" w:cs="Times New Roman"/>
                <w:sz w:val="20"/>
                <w:szCs w:val="20"/>
              </w:rPr>
              <w:t>%</w:t>
            </w:r>
          </w:p>
        </w:tc>
      </w:tr>
      <w:tr w:rsidR="002A1964" w:rsidRPr="002A1964" w:rsidTr="001C4CC4">
        <w:tblPrEx>
          <w:tblLook w:val="04A0" w:firstRow="1" w:lastRow="0" w:firstColumn="1" w:lastColumn="0" w:noHBand="0" w:noVBand="1"/>
        </w:tblPrEx>
        <w:trPr>
          <w:jc w:val="center"/>
        </w:trPr>
        <w:tc>
          <w:tcPr>
            <w:tcW w:w="2263" w:type="dxa"/>
            <w:tcBorders>
              <w:left w:val="single" w:sz="18" w:space="0" w:color="auto"/>
              <w:right w:val="single" w:sz="18" w:space="0" w:color="auto"/>
            </w:tcBorders>
            <w:vAlign w:val="center"/>
          </w:tcPr>
          <w:p w:rsidR="002A1964" w:rsidRPr="002A1964" w:rsidRDefault="002A1964" w:rsidP="00A8404D">
            <w:pPr>
              <w:jc w:val="center"/>
              <w:rPr>
                <w:rFonts w:ascii="Times New Roman" w:hAnsi="Times New Roman" w:cs="Times New Roman"/>
                <w:b/>
                <w:sz w:val="20"/>
                <w:szCs w:val="20"/>
              </w:rPr>
            </w:pPr>
            <w:r w:rsidRPr="002A1964">
              <w:rPr>
                <w:rFonts w:ascii="Times New Roman" w:hAnsi="Times New Roman" w:cs="Times New Roman"/>
                <w:b/>
                <w:sz w:val="20"/>
                <w:szCs w:val="20"/>
              </w:rPr>
              <w:t>Органи државне управе</w:t>
            </w:r>
          </w:p>
        </w:tc>
        <w:tc>
          <w:tcPr>
            <w:tcW w:w="923" w:type="dxa"/>
            <w:tcBorders>
              <w:left w:val="single" w:sz="18" w:space="0" w:color="auto"/>
            </w:tcBorders>
            <w:vAlign w:val="center"/>
          </w:tcPr>
          <w:p w:rsidR="002A1964" w:rsidRPr="002A1964" w:rsidRDefault="002A1964" w:rsidP="00A8404D">
            <w:pPr>
              <w:jc w:val="center"/>
              <w:rPr>
                <w:rFonts w:ascii="Calibri" w:hAnsi="Calibri" w:cs="Calibri"/>
                <w:color w:val="000000"/>
                <w:sz w:val="20"/>
                <w:szCs w:val="20"/>
                <w:lang w:val="sr-Cyrl-CS"/>
              </w:rPr>
            </w:pPr>
            <w:r w:rsidRPr="002A1964">
              <w:rPr>
                <w:rFonts w:ascii="Calibri" w:hAnsi="Calibri" w:cs="Calibri"/>
                <w:color w:val="000000"/>
                <w:sz w:val="20"/>
                <w:szCs w:val="20"/>
                <w:lang w:val="sr-Cyrl-CS"/>
              </w:rPr>
              <w:t>251</w:t>
            </w:r>
          </w:p>
        </w:tc>
        <w:tc>
          <w:tcPr>
            <w:tcW w:w="512" w:type="dxa"/>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7</w:t>
            </w:r>
          </w:p>
        </w:tc>
        <w:tc>
          <w:tcPr>
            <w:tcW w:w="1305" w:type="dxa"/>
            <w:vAlign w:val="center"/>
          </w:tcPr>
          <w:p w:rsidR="002A1964" w:rsidRPr="002A1964" w:rsidRDefault="002A1964" w:rsidP="00A8404D">
            <w:pPr>
              <w:jc w:val="center"/>
              <w:rPr>
                <w:rFonts w:ascii="Calibri" w:hAnsi="Calibri" w:cs="Calibri"/>
                <w:color w:val="000000"/>
                <w:sz w:val="20"/>
                <w:szCs w:val="20"/>
                <w:lang w:val="sr-Cyrl-CS"/>
              </w:rPr>
            </w:pPr>
            <w:r w:rsidRPr="002A1964">
              <w:rPr>
                <w:rFonts w:ascii="Calibri" w:hAnsi="Calibri" w:cs="Calibri"/>
                <w:color w:val="000000"/>
                <w:sz w:val="20"/>
                <w:szCs w:val="20"/>
                <w:lang w:val="sr-Cyrl-CS"/>
              </w:rPr>
              <w:t>1.392.324</w:t>
            </w:r>
          </w:p>
        </w:tc>
        <w:tc>
          <w:tcPr>
            <w:tcW w:w="521" w:type="dxa"/>
            <w:tcBorders>
              <w:right w:val="single" w:sz="18"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5</w:t>
            </w:r>
          </w:p>
        </w:tc>
        <w:tc>
          <w:tcPr>
            <w:tcW w:w="923" w:type="dxa"/>
            <w:tcBorders>
              <w:left w:val="single" w:sz="18"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lang w:val="sr-Cyrl-CS"/>
              </w:rPr>
              <w:t>101</w:t>
            </w:r>
          </w:p>
        </w:tc>
        <w:tc>
          <w:tcPr>
            <w:tcW w:w="666" w:type="dxa"/>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7</w:t>
            </w:r>
          </w:p>
        </w:tc>
        <w:tc>
          <w:tcPr>
            <w:tcW w:w="1345" w:type="dxa"/>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lang w:val="sr-Cyrl-CS"/>
              </w:rPr>
              <w:t>557.924</w:t>
            </w:r>
          </w:p>
        </w:tc>
        <w:tc>
          <w:tcPr>
            <w:tcW w:w="666" w:type="dxa"/>
            <w:tcBorders>
              <w:right w:val="single" w:sz="18"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11</w:t>
            </w:r>
          </w:p>
        </w:tc>
      </w:tr>
      <w:tr w:rsidR="002A1964" w:rsidRPr="002A1964" w:rsidTr="001C4CC4">
        <w:tblPrEx>
          <w:tblLook w:val="04A0" w:firstRow="1" w:lastRow="0" w:firstColumn="1" w:lastColumn="0" w:noHBand="0" w:noVBand="1"/>
        </w:tblPrEx>
        <w:trPr>
          <w:jc w:val="center"/>
        </w:trPr>
        <w:tc>
          <w:tcPr>
            <w:tcW w:w="2263" w:type="dxa"/>
            <w:tcBorders>
              <w:left w:val="single" w:sz="18" w:space="0" w:color="auto"/>
              <w:right w:val="single" w:sz="18" w:space="0" w:color="auto"/>
            </w:tcBorders>
            <w:vAlign w:val="center"/>
          </w:tcPr>
          <w:p w:rsidR="002A1964" w:rsidRPr="002A1964" w:rsidRDefault="002A1964" w:rsidP="00A8404D">
            <w:pPr>
              <w:jc w:val="center"/>
              <w:rPr>
                <w:rFonts w:ascii="Times New Roman" w:hAnsi="Times New Roman" w:cs="Times New Roman"/>
                <w:b/>
                <w:sz w:val="20"/>
                <w:szCs w:val="20"/>
              </w:rPr>
            </w:pPr>
            <w:r w:rsidRPr="002A1964">
              <w:rPr>
                <w:rFonts w:ascii="Times New Roman" w:hAnsi="Times New Roman" w:cs="Times New Roman"/>
                <w:b/>
                <w:sz w:val="20"/>
                <w:szCs w:val="20"/>
              </w:rPr>
              <w:t>Правосуђе</w:t>
            </w:r>
          </w:p>
        </w:tc>
        <w:tc>
          <w:tcPr>
            <w:tcW w:w="923" w:type="dxa"/>
            <w:tcBorders>
              <w:left w:val="single" w:sz="18" w:space="0" w:color="auto"/>
            </w:tcBorders>
            <w:vAlign w:val="center"/>
          </w:tcPr>
          <w:p w:rsidR="002A1964" w:rsidRPr="002A1964" w:rsidRDefault="002A1964" w:rsidP="00A8404D">
            <w:pPr>
              <w:jc w:val="center"/>
              <w:rPr>
                <w:rFonts w:ascii="Calibri" w:hAnsi="Calibri" w:cs="Calibri"/>
                <w:color w:val="000000"/>
                <w:sz w:val="20"/>
                <w:szCs w:val="20"/>
                <w:lang w:val="sr-Cyrl-CS"/>
              </w:rPr>
            </w:pPr>
            <w:r w:rsidRPr="002A1964">
              <w:rPr>
                <w:rFonts w:ascii="Calibri" w:hAnsi="Calibri" w:cs="Calibri"/>
                <w:color w:val="000000"/>
                <w:sz w:val="20"/>
                <w:szCs w:val="20"/>
                <w:lang w:val="sr-Cyrl-CS"/>
              </w:rPr>
              <w:t>8</w:t>
            </w:r>
          </w:p>
        </w:tc>
        <w:tc>
          <w:tcPr>
            <w:tcW w:w="512" w:type="dxa"/>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0</w:t>
            </w:r>
          </w:p>
        </w:tc>
        <w:tc>
          <w:tcPr>
            <w:tcW w:w="1305" w:type="dxa"/>
            <w:vAlign w:val="center"/>
          </w:tcPr>
          <w:p w:rsidR="002A1964" w:rsidRPr="002A1964" w:rsidRDefault="002A1964" w:rsidP="00A8404D">
            <w:pPr>
              <w:jc w:val="center"/>
              <w:rPr>
                <w:rFonts w:ascii="Calibri" w:hAnsi="Calibri" w:cs="Calibri"/>
                <w:color w:val="000000"/>
                <w:sz w:val="20"/>
                <w:szCs w:val="20"/>
                <w:lang w:val="sr-Cyrl-CS"/>
              </w:rPr>
            </w:pPr>
            <w:r w:rsidRPr="002A1964">
              <w:rPr>
                <w:rFonts w:ascii="Calibri" w:hAnsi="Calibri" w:cs="Calibri"/>
                <w:color w:val="000000"/>
                <w:sz w:val="20"/>
                <w:szCs w:val="20"/>
                <w:lang w:val="sr-Cyrl-CS"/>
              </w:rPr>
              <w:t>7.593</w:t>
            </w:r>
          </w:p>
        </w:tc>
        <w:tc>
          <w:tcPr>
            <w:tcW w:w="521" w:type="dxa"/>
            <w:tcBorders>
              <w:right w:val="single" w:sz="18"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0</w:t>
            </w:r>
          </w:p>
        </w:tc>
        <w:tc>
          <w:tcPr>
            <w:tcW w:w="923" w:type="dxa"/>
            <w:tcBorders>
              <w:left w:val="single" w:sz="18"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lang w:val="sr-Cyrl-CS"/>
              </w:rPr>
              <w:t>15</w:t>
            </w:r>
          </w:p>
        </w:tc>
        <w:tc>
          <w:tcPr>
            <w:tcW w:w="666" w:type="dxa"/>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1</w:t>
            </w:r>
          </w:p>
        </w:tc>
        <w:tc>
          <w:tcPr>
            <w:tcW w:w="1345" w:type="dxa"/>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lang w:val="sr-Cyrl-CS"/>
              </w:rPr>
              <w:t>47.993</w:t>
            </w:r>
          </w:p>
        </w:tc>
        <w:tc>
          <w:tcPr>
            <w:tcW w:w="666" w:type="dxa"/>
            <w:tcBorders>
              <w:right w:val="single" w:sz="18"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1</w:t>
            </w:r>
          </w:p>
        </w:tc>
      </w:tr>
      <w:tr w:rsidR="002A1964" w:rsidRPr="002A1964" w:rsidTr="001C4CC4">
        <w:tblPrEx>
          <w:tblLook w:val="04A0" w:firstRow="1" w:lastRow="0" w:firstColumn="1" w:lastColumn="0" w:noHBand="0" w:noVBand="1"/>
        </w:tblPrEx>
        <w:trPr>
          <w:jc w:val="center"/>
        </w:trPr>
        <w:tc>
          <w:tcPr>
            <w:tcW w:w="2263" w:type="dxa"/>
            <w:tcBorders>
              <w:left w:val="single" w:sz="18" w:space="0" w:color="auto"/>
              <w:right w:val="single" w:sz="18" w:space="0" w:color="auto"/>
            </w:tcBorders>
            <w:vAlign w:val="center"/>
          </w:tcPr>
          <w:p w:rsidR="002A1964" w:rsidRPr="002A1964" w:rsidRDefault="002A1964" w:rsidP="00A8404D">
            <w:pPr>
              <w:jc w:val="center"/>
              <w:rPr>
                <w:rFonts w:ascii="Times New Roman" w:hAnsi="Times New Roman" w:cs="Times New Roman"/>
                <w:b/>
                <w:sz w:val="20"/>
                <w:szCs w:val="20"/>
              </w:rPr>
            </w:pPr>
            <w:r w:rsidRPr="002A1964">
              <w:rPr>
                <w:rFonts w:ascii="Times New Roman" w:hAnsi="Times New Roman" w:cs="Times New Roman"/>
                <w:b/>
                <w:sz w:val="20"/>
                <w:szCs w:val="20"/>
              </w:rPr>
              <w:t>Здравство и социјална заштита</w:t>
            </w:r>
          </w:p>
        </w:tc>
        <w:tc>
          <w:tcPr>
            <w:tcW w:w="923" w:type="dxa"/>
            <w:tcBorders>
              <w:left w:val="single" w:sz="18" w:space="0" w:color="auto"/>
            </w:tcBorders>
            <w:vAlign w:val="center"/>
          </w:tcPr>
          <w:p w:rsidR="002A1964" w:rsidRPr="002A1964" w:rsidRDefault="002A1964" w:rsidP="00A8404D">
            <w:pPr>
              <w:jc w:val="center"/>
              <w:rPr>
                <w:rFonts w:ascii="Calibri" w:hAnsi="Calibri" w:cs="Calibri"/>
                <w:color w:val="000000"/>
                <w:sz w:val="20"/>
                <w:szCs w:val="20"/>
                <w:lang w:val="sr-Cyrl-CS"/>
              </w:rPr>
            </w:pPr>
            <w:r w:rsidRPr="002A1964">
              <w:rPr>
                <w:rFonts w:ascii="Calibri" w:hAnsi="Calibri" w:cs="Calibri"/>
                <w:color w:val="000000"/>
                <w:sz w:val="20"/>
                <w:szCs w:val="20"/>
                <w:lang w:val="sr-Cyrl-CS"/>
              </w:rPr>
              <w:t>2.236</w:t>
            </w:r>
          </w:p>
        </w:tc>
        <w:tc>
          <w:tcPr>
            <w:tcW w:w="512" w:type="dxa"/>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62</w:t>
            </w:r>
          </w:p>
        </w:tc>
        <w:tc>
          <w:tcPr>
            <w:tcW w:w="1305" w:type="dxa"/>
            <w:vAlign w:val="center"/>
          </w:tcPr>
          <w:p w:rsidR="002A1964" w:rsidRPr="002A1964" w:rsidRDefault="002A1964" w:rsidP="00A8404D">
            <w:pPr>
              <w:jc w:val="center"/>
              <w:rPr>
                <w:rFonts w:ascii="Calibri" w:hAnsi="Calibri" w:cs="Calibri"/>
                <w:color w:val="000000"/>
                <w:sz w:val="20"/>
                <w:szCs w:val="20"/>
                <w:lang w:val="sr-Cyrl-CS"/>
              </w:rPr>
            </w:pPr>
            <w:r w:rsidRPr="002A1964">
              <w:rPr>
                <w:rFonts w:ascii="Calibri" w:hAnsi="Calibri" w:cs="Calibri"/>
                <w:color w:val="000000"/>
                <w:sz w:val="20"/>
                <w:szCs w:val="20"/>
                <w:lang w:val="sr-Cyrl-CS"/>
              </w:rPr>
              <w:t>13.838.142</w:t>
            </w:r>
          </w:p>
        </w:tc>
        <w:tc>
          <w:tcPr>
            <w:tcW w:w="521" w:type="dxa"/>
            <w:tcBorders>
              <w:right w:val="single" w:sz="18"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52</w:t>
            </w:r>
          </w:p>
        </w:tc>
        <w:tc>
          <w:tcPr>
            <w:tcW w:w="923" w:type="dxa"/>
            <w:tcBorders>
              <w:left w:val="single" w:sz="18"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lang w:val="sr-Cyrl-CS"/>
              </w:rPr>
              <w:t>706</w:t>
            </w:r>
          </w:p>
        </w:tc>
        <w:tc>
          <w:tcPr>
            <w:tcW w:w="666" w:type="dxa"/>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50</w:t>
            </w:r>
          </w:p>
        </w:tc>
        <w:tc>
          <w:tcPr>
            <w:tcW w:w="1345" w:type="dxa"/>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lang w:val="sr-Cyrl-CS"/>
              </w:rPr>
              <w:t>1.866.762</w:t>
            </w:r>
          </w:p>
        </w:tc>
        <w:tc>
          <w:tcPr>
            <w:tcW w:w="666" w:type="dxa"/>
            <w:tcBorders>
              <w:right w:val="single" w:sz="18"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36</w:t>
            </w:r>
          </w:p>
        </w:tc>
      </w:tr>
      <w:tr w:rsidR="002A1964" w:rsidRPr="002A1964" w:rsidTr="001C4CC4">
        <w:tblPrEx>
          <w:tblLook w:val="04A0" w:firstRow="1" w:lastRow="0" w:firstColumn="1" w:lastColumn="0" w:noHBand="0" w:noVBand="1"/>
        </w:tblPrEx>
        <w:trPr>
          <w:jc w:val="center"/>
        </w:trPr>
        <w:tc>
          <w:tcPr>
            <w:tcW w:w="2263" w:type="dxa"/>
            <w:tcBorders>
              <w:left w:val="single" w:sz="18" w:space="0" w:color="auto"/>
              <w:right w:val="single" w:sz="18" w:space="0" w:color="auto"/>
            </w:tcBorders>
            <w:vAlign w:val="center"/>
          </w:tcPr>
          <w:p w:rsidR="002A1964" w:rsidRPr="002A1964" w:rsidRDefault="002A1964" w:rsidP="00A8404D">
            <w:pPr>
              <w:jc w:val="center"/>
              <w:rPr>
                <w:rFonts w:ascii="Times New Roman" w:hAnsi="Times New Roman" w:cs="Times New Roman"/>
                <w:b/>
                <w:sz w:val="20"/>
                <w:szCs w:val="20"/>
              </w:rPr>
            </w:pPr>
            <w:r w:rsidRPr="002A1964">
              <w:rPr>
                <w:rFonts w:ascii="Times New Roman" w:hAnsi="Times New Roman" w:cs="Times New Roman"/>
                <w:b/>
                <w:sz w:val="20"/>
                <w:szCs w:val="20"/>
              </w:rPr>
              <w:t>Култура</w:t>
            </w:r>
          </w:p>
        </w:tc>
        <w:tc>
          <w:tcPr>
            <w:tcW w:w="923" w:type="dxa"/>
            <w:tcBorders>
              <w:left w:val="single" w:sz="18" w:space="0" w:color="auto"/>
            </w:tcBorders>
            <w:vAlign w:val="center"/>
          </w:tcPr>
          <w:p w:rsidR="002A1964" w:rsidRPr="002A1964" w:rsidRDefault="002A1964" w:rsidP="00A8404D">
            <w:pPr>
              <w:jc w:val="center"/>
              <w:rPr>
                <w:rFonts w:ascii="Calibri" w:hAnsi="Calibri" w:cs="Calibri"/>
                <w:color w:val="000000"/>
                <w:sz w:val="20"/>
                <w:szCs w:val="20"/>
                <w:lang w:val="sr-Cyrl-CS"/>
              </w:rPr>
            </w:pPr>
            <w:r w:rsidRPr="002A1964">
              <w:rPr>
                <w:rFonts w:ascii="Calibri" w:hAnsi="Calibri" w:cs="Calibri"/>
                <w:color w:val="000000"/>
                <w:sz w:val="20"/>
                <w:szCs w:val="20"/>
                <w:lang w:val="sr-Cyrl-CS"/>
              </w:rPr>
              <w:t>68</w:t>
            </w:r>
          </w:p>
        </w:tc>
        <w:tc>
          <w:tcPr>
            <w:tcW w:w="512" w:type="dxa"/>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2</w:t>
            </w:r>
          </w:p>
        </w:tc>
        <w:tc>
          <w:tcPr>
            <w:tcW w:w="1305" w:type="dxa"/>
            <w:vAlign w:val="center"/>
          </w:tcPr>
          <w:p w:rsidR="002A1964" w:rsidRPr="002A1964" w:rsidRDefault="002A1964" w:rsidP="00A8404D">
            <w:pPr>
              <w:jc w:val="center"/>
              <w:rPr>
                <w:rFonts w:ascii="Calibri" w:hAnsi="Calibri" w:cs="Calibri"/>
                <w:color w:val="000000"/>
                <w:sz w:val="20"/>
                <w:szCs w:val="20"/>
                <w:lang w:val="sr-Cyrl-CS"/>
              </w:rPr>
            </w:pPr>
            <w:r w:rsidRPr="002A1964">
              <w:rPr>
                <w:rFonts w:ascii="Calibri" w:hAnsi="Calibri" w:cs="Calibri"/>
                <w:color w:val="000000"/>
                <w:sz w:val="20"/>
                <w:szCs w:val="20"/>
                <w:lang w:val="sr-Cyrl-CS"/>
              </w:rPr>
              <w:t>34.710</w:t>
            </w:r>
          </w:p>
        </w:tc>
        <w:tc>
          <w:tcPr>
            <w:tcW w:w="521" w:type="dxa"/>
            <w:tcBorders>
              <w:right w:val="single" w:sz="18"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0</w:t>
            </w:r>
          </w:p>
        </w:tc>
        <w:tc>
          <w:tcPr>
            <w:tcW w:w="923" w:type="dxa"/>
            <w:tcBorders>
              <w:left w:val="single" w:sz="18"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lang w:val="sr-Cyrl-CS"/>
              </w:rPr>
              <w:t>150</w:t>
            </w:r>
          </w:p>
        </w:tc>
        <w:tc>
          <w:tcPr>
            <w:tcW w:w="666" w:type="dxa"/>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11</w:t>
            </w:r>
          </w:p>
        </w:tc>
        <w:tc>
          <w:tcPr>
            <w:tcW w:w="1345" w:type="dxa"/>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lang w:val="sr-Cyrl-CS"/>
              </w:rPr>
              <w:t>72.859</w:t>
            </w:r>
          </w:p>
        </w:tc>
        <w:tc>
          <w:tcPr>
            <w:tcW w:w="666" w:type="dxa"/>
            <w:tcBorders>
              <w:right w:val="single" w:sz="18"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1</w:t>
            </w:r>
          </w:p>
        </w:tc>
      </w:tr>
      <w:tr w:rsidR="002A1964" w:rsidRPr="002A1964" w:rsidTr="001C4CC4">
        <w:tblPrEx>
          <w:tblLook w:val="04A0" w:firstRow="1" w:lastRow="0" w:firstColumn="1" w:lastColumn="0" w:noHBand="0" w:noVBand="1"/>
        </w:tblPrEx>
        <w:trPr>
          <w:jc w:val="center"/>
        </w:trPr>
        <w:tc>
          <w:tcPr>
            <w:tcW w:w="2263" w:type="dxa"/>
            <w:tcBorders>
              <w:left w:val="single" w:sz="18" w:space="0" w:color="auto"/>
              <w:right w:val="single" w:sz="18" w:space="0" w:color="auto"/>
            </w:tcBorders>
            <w:vAlign w:val="center"/>
          </w:tcPr>
          <w:p w:rsidR="002A1964" w:rsidRPr="002A1964" w:rsidRDefault="002A1964" w:rsidP="00A8404D">
            <w:pPr>
              <w:jc w:val="center"/>
              <w:rPr>
                <w:rFonts w:ascii="Times New Roman" w:hAnsi="Times New Roman" w:cs="Times New Roman"/>
                <w:b/>
                <w:sz w:val="20"/>
                <w:szCs w:val="20"/>
              </w:rPr>
            </w:pPr>
            <w:r w:rsidRPr="002A1964">
              <w:rPr>
                <w:rFonts w:ascii="Times New Roman" w:hAnsi="Times New Roman" w:cs="Times New Roman"/>
                <w:b/>
                <w:sz w:val="20"/>
                <w:szCs w:val="20"/>
              </w:rPr>
              <w:t xml:space="preserve">Просвета и наука </w:t>
            </w:r>
          </w:p>
        </w:tc>
        <w:tc>
          <w:tcPr>
            <w:tcW w:w="923" w:type="dxa"/>
            <w:tcBorders>
              <w:left w:val="single" w:sz="18" w:space="0" w:color="auto"/>
            </w:tcBorders>
            <w:vAlign w:val="center"/>
          </w:tcPr>
          <w:p w:rsidR="002A1964" w:rsidRPr="002A1964" w:rsidRDefault="002A1964" w:rsidP="00A8404D">
            <w:pPr>
              <w:jc w:val="center"/>
              <w:rPr>
                <w:rFonts w:ascii="Calibri" w:hAnsi="Calibri" w:cs="Calibri"/>
                <w:color w:val="000000"/>
                <w:sz w:val="20"/>
                <w:szCs w:val="20"/>
                <w:lang w:val="sr-Cyrl-CS"/>
              </w:rPr>
            </w:pPr>
            <w:r w:rsidRPr="002A1964">
              <w:rPr>
                <w:rFonts w:ascii="Calibri" w:hAnsi="Calibri" w:cs="Calibri"/>
                <w:color w:val="000000"/>
                <w:sz w:val="20"/>
                <w:szCs w:val="20"/>
                <w:lang w:val="sr-Cyrl-CS"/>
              </w:rPr>
              <w:t>95</w:t>
            </w:r>
          </w:p>
        </w:tc>
        <w:tc>
          <w:tcPr>
            <w:tcW w:w="512" w:type="dxa"/>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3</w:t>
            </w:r>
          </w:p>
        </w:tc>
        <w:tc>
          <w:tcPr>
            <w:tcW w:w="1305" w:type="dxa"/>
            <w:vAlign w:val="center"/>
          </w:tcPr>
          <w:p w:rsidR="002A1964" w:rsidRPr="002A1964" w:rsidRDefault="002A1964" w:rsidP="00A8404D">
            <w:pPr>
              <w:jc w:val="center"/>
              <w:rPr>
                <w:rFonts w:ascii="Calibri" w:hAnsi="Calibri" w:cs="Calibri"/>
                <w:color w:val="000000"/>
                <w:sz w:val="20"/>
                <w:szCs w:val="20"/>
                <w:lang w:val="sr-Cyrl-CS"/>
              </w:rPr>
            </w:pPr>
            <w:r w:rsidRPr="002A1964">
              <w:rPr>
                <w:rFonts w:ascii="Calibri" w:hAnsi="Calibri" w:cs="Calibri"/>
                <w:color w:val="000000"/>
                <w:sz w:val="20"/>
                <w:szCs w:val="20"/>
                <w:lang w:val="sr-Cyrl-CS"/>
              </w:rPr>
              <w:t>194.159</w:t>
            </w:r>
          </w:p>
        </w:tc>
        <w:tc>
          <w:tcPr>
            <w:tcW w:w="521" w:type="dxa"/>
            <w:tcBorders>
              <w:right w:val="single" w:sz="18"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1</w:t>
            </w:r>
          </w:p>
        </w:tc>
        <w:tc>
          <w:tcPr>
            <w:tcW w:w="923" w:type="dxa"/>
            <w:tcBorders>
              <w:left w:val="single" w:sz="18"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lang w:val="sr-Cyrl-CS"/>
              </w:rPr>
              <w:t>80</w:t>
            </w:r>
          </w:p>
        </w:tc>
        <w:tc>
          <w:tcPr>
            <w:tcW w:w="666" w:type="dxa"/>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6</w:t>
            </w:r>
          </w:p>
        </w:tc>
        <w:tc>
          <w:tcPr>
            <w:tcW w:w="1345" w:type="dxa"/>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lang w:val="sr-Cyrl-CS"/>
              </w:rPr>
              <w:t>155.675</w:t>
            </w:r>
          </w:p>
        </w:tc>
        <w:tc>
          <w:tcPr>
            <w:tcW w:w="666" w:type="dxa"/>
            <w:tcBorders>
              <w:right w:val="single" w:sz="18"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3</w:t>
            </w:r>
          </w:p>
        </w:tc>
      </w:tr>
      <w:tr w:rsidR="002A1964" w:rsidRPr="002A1964" w:rsidTr="001C4CC4">
        <w:tblPrEx>
          <w:tblLook w:val="04A0" w:firstRow="1" w:lastRow="0" w:firstColumn="1" w:lastColumn="0" w:noHBand="0" w:noVBand="1"/>
        </w:tblPrEx>
        <w:trPr>
          <w:jc w:val="center"/>
        </w:trPr>
        <w:tc>
          <w:tcPr>
            <w:tcW w:w="2263" w:type="dxa"/>
            <w:tcBorders>
              <w:left w:val="single" w:sz="18" w:space="0" w:color="auto"/>
              <w:right w:val="single" w:sz="18" w:space="0" w:color="auto"/>
            </w:tcBorders>
            <w:vAlign w:val="center"/>
          </w:tcPr>
          <w:p w:rsidR="002A1964" w:rsidRPr="002A1964" w:rsidRDefault="002A1964" w:rsidP="00A8404D">
            <w:pPr>
              <w:jc w:val="center"/>
              <w:rPr>
                <w:rFonts w:ascii="Times New Roman" w:hAnsi="Times New Roman" w:cs="Times New Roman"/>
                <w:b/>
                <w:sz w:val="20"/>
                <w:szCs w:val="20"/>
              </w:rPr>
            </w:pPr>
            <w:r w:rsidRPr="002A1964">
              <w:rPr>
                <w:rFonts w:ascii="Times New Roman" w:hAnsi="Times New Roman" w:cs="Times New Roman"/>
                <w:b/>
                <w:sz w:val="20"/>
                <w:szCs w:val="20"/>
              </w:rPr>
              <w:t>Државна јавна предузећа/привредна друштва</w:t>
            </w:r>
          </w:p>
        </w:tc>
        <w:tc>
          <w:tcPr>
            <w:tcW w:w="923" w:type="dxa"/>
            <w:tcBorders>
              <w:left w:val="single" w:sz="18" w:space="0" w:color="auto"/>
            </w:tcBorders>
            <w:vAlign w:val="center"/>
          </w:tcPr>
          <w:p w:rsidR="002A1964" w:rsidRPr="002A1964" w:rsidRDefault="002A1964" w:rsidP="00A8404D">
            <w:pPr>
              <w:jc w:val="center"/>
              <w:rPr>
                <w:rFonts w:ascii="Calibri" w:hAnsi="Calibri" w:cs="Calibri"/>
                <w:color w:val="000000"/>
                <w:sz w:val="20"/>
                <w:szCs w:val="20"/>
                <w:lang w:val="sr-Cyrl-CS"/>
              </w:rPr>
            </w:pPr>
            <w:r w:rsidRPr="002A1964">
              <w:rPr>
                <w:rFonts w:ascii="Calibri" w:hAnsi="Calibri" w:cs="Calibri"/>
                <w:color w:val="000000"/>
                <w:sz w:val="20"/>
                <w:szCs w:val="20"/>
                <w:lang w:val="sr-Cyrl-CS"/>
              </w:rPr>
              <w:t>560</w:t>
            </w:r>
          </w:p>
        </w:tc>
        <w:tc>
          <w:tcPr>
            <w:tcW w:w="512" w:type="dxa"/>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15</w:t>
            </w:r>
          </w:p>
        </w:tc>
        <w:tc>
          <w:tcPr>
            <w:tcW w:w="1305" w:type="dxa"/>
            <w:vAlign w:val="center"/>
          </w:tcPr>
          <w:p w:rsidR="002A1964" w:rsidRPr="002A1964" w:rsidRDefault="002A1964" w:rsidP="00A8404D">
            <w:pPr>
              <w:jc w:val="center"/>
              <w:rPr>
                <w:rFonts w:ascii="Calibri" w:hAnsi="Calibri" w:cs="Calibri"/>
                <w:color w:val="000000"/>
                <w:sz w:val="20"/>
                <w:szCs w:val="20"/>
                <w:lang w:val="sr-Cyrl-CS"/>
              </w:rPr>
            </w:pPr>
            <w:r w:rsidRPr="002A1964">
              <w:rPr>
                <w:rFonts w:ascii="Calibri" w:hAnsi="Calibri" w:cs="Calibri"/>
                <w:color w:val="000000"/>
                <w:sz w:val="20"/>
                <w:szCs w:val="20"/>
                <w:lang w:val="sr-Cyrl-CS"/>
              </w:rPr>
              <w:t>8.902.089</w:t>
            </w:r>
          </w:p>
        </w:tc>
        <w:tc>
          <w:tcPr>
            <w:tcW w:w="521" w:type="dxa"/>
            <w:tcBorders>
              <w:right w:val="single" w:sz="18"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33</w:t>
            </w:r>
          </w:p>
        </w:tc>
        <w:tc>
          <w:tcPr>
            <w:tcW w:w="923" w:type="dxa"/>
            <w:tcBorders>
              <w:left w:val="single" w:sz="18"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lang w:val="sr-Cyrl-CS"/>
              </w:rPr>
              <w:t>181</w:t>
            </w:r>
          </w:p>
        </w:tc>
        <w:tc>
          <w:tcPr>
            <w:tcW w:w="666" w:type="dxa"/>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13</w:t>
            </w:r>
          </w:p>
        </w:tc>
        <w:tc>
          <w:tcPr>
            <w:tcW w:w="1345" w:type="dxa"/>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lang w:val="sr-Cyrl-CS"/>
              </w:rPr>
              <w:t>1.998.089</w:t>
            </w:r>
          </w:p>
        </w:tc>
        <w:tc>
          <w:tcPr>
            <w:tcW w:w="666" w:type="dxa"/>
            <w:tcBorders>
              <w:right w:val="single" w:sz="18"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39</w:t>
            </w:r>
          </w:p>
        </w:tc>
      </w:tr>
      <w:tr w:rsidR="002A1964" w:rsidRPr="002A1964" w:rsidTr="001C4CC4">
        <w:tblPrEx>
          <w:tblLook w:val="04A0" w:firstRow="1" w:lastRow="0" w:firstColumn="1" w:lastColumn="0" w:noHBand="0" w:noVBand="1"/>
        </w:tblPrEx>
        <w:trPr>
          <w:jc w:val="center"/>
        </w:trPr>
        <w:tc>
          <w:tcPr>
            <w:tcW w:w="2263" w:type="dxa"/>
            <w:tcBorders>
              <w:left w:val="single" w:sz="18" w:space="0" w:color="auto"/>
              <w:right w:val="single" w:sz="18" w:space="0" w:color="auto"/>
            </w:tcBorders>
            <w:vAlign w:val="center"/>
          </w:tcPr>
          <w:p w:rsidR="002A1964" w:rsidRPr="002A1964" w:rsidRDefault="002A1964" w:rsidP="00A8404D">
            <w:pPr>
              <w:jc w:val="center"/>
              <w:rPr>
                <w:rFonts w:ascii="Times New Roman" w:hAnsi="Times New Roman" w:cs="Times New Roman"/>
                <w:b/>
                <w:sz w:val="20"/>
                <w:szCs w:val="20"/>
              </w:rPr>
            </w:pPr>
            <w:r w:rsidRPr="002A1964">
              <w:rPr>
                <w:rFonts w:ascii="Times New Roman" w:hAnsi="Times New Roman" w:cs="Times New Roman"/>
                <w:b/>
                <w:sz w:val="20"/>
                <w:szCs w:val="20"/>
              </w:rPr>
              <w:t>Јавна предузећа-локална самоуправа</w:t>
            </w:r>
          </w:p>
        </w:tc>
        <w:tc>
          <w:tcPr>
            <w:tcW w:w="923" w:type="dxa"/>
            <w:tcBorders>
              <w:left w:val="single" w:sz="18" w:space="0" w:color="auto"/>
            </w:tcBorders>
            <w:vAlign w:val="center"/>
          </w:tcPr>
          <w:p w:rsidR="002A1964" w:rsidRPr="002A1964" w:rsidRDefault="002A1964" w:rsidP="00A8404D">
            <w:pPr>
              <w:jc w:val="center"/>
              <w:rPr>
                <w:rFonts w:ascii="Calibri" w:hAnsi="Calibri" w:cs="Calibri"/>
                <w:color w:val="000000"/>
                <w:sz w:val="20"/>
                <w:szCs w:val="20"/>
                <w:lang w:val="sr-Cyrl-CS"/>
              </w:rPr>
            </w:pPr>
            <w:r w:rsidRPr="002A1964">
              <w:rPr>
                <w:rFonts w:ascii="Calibri" w:hAnsi="Calibri" w:cs="Calibri"/>
                <w:color w:val="000000"/>
                <w:sz w:val="20"/>
                <w:szCs w:val="20"/>
                <w:lang w:val="sr-Cyrl-CS"/>
              </w:rPr>
              <w:t>247</w:t>
            </w:r>
          </w:p>
        </w:tc>
        <w:tc>
          <w:tcPr>
            <w:tcW w:w="512" w:type="dxa"/>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7</w:t>
            </w:r>
          </w:p>
        </w:tc>
        <w:tc>
          <w:tcPr>
            <w:tcW w:w="1305" w:type="dxa"/>
            <w:vAlign w:val="center"/>
          </w:tcPr>
          <w:p w:rsidR="002A1964" w:rsidRPr="002A1964" w:rsidRDefault="002A1964" w:rsidP="00A8404D">
            <w:pPr>
              <w:jc w:val="center"/>
              <w:rPr>
                <w:rFonts w:ascii="Calibri" w:hAnsi="Calibri" w:cs="Calibri"/>
                <w:color w:val="000000"/>
                <w:sz w:val="20"/>
                <w:szCs w:val="20"/>
                <w:lang w:val="sr-Cyrl-CS"/>
              </w:rPr>
            </w:pPr>
            <w:r w:rsidRPr="002A1964">
              <w:rPr>
                <w:rFonts w:ascii="Calibri" w:hAnsi="Calibri" w:cs="Calibri"/>
                <w:color w:val="000000"/>
                <w:sz w:val="20"/>
                <w:szCs w:val="20"/>
                <w:lang w:val="sr-Cyrl-CS"/>
              </w:rPr>
              <w:t>1.165.859</w:t>
            </w:r>
          </w:p>
        </w:tc>
        <w:tc>
          <w:tcPr>
            <w:tcW w:w="521" w:type="dxa"/>
            <w:tcBorders>
              <w:right w:val="single" w:sz="18"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4</w:t>
            </w:r>
          </w:p>
        </w:tc>
        <w:tc>
          <w:tcPr>
            <w:tcW w:w="923" w:type="dxa"/>
            <w:tcBorders>
              <w:left w:val="single" w:sz="18"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lang w:val="sr-Cyrl-CS"/>
              </w:rPr>
              <w:t>106</w:t>
            </w:r>
          </w:p>
        </w:tc>
        <w:tc>
          <w:tcPr>
            <w:tcW w:w="666" w:type="dxa"/>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7</w:t>
            </w:r>
          </w:p>
        </w:tc>
        <w:tc>
          <w:tcPr>
            <w:tcW w:w="1345" w:type="dxa"/>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lang w:val="sr-Cyrl-CS"/>
              </w:rPr>
              <w:t>359.877</w:t>
            </w:r>
          </w:p>
        </w:tc>
        <w:tc>
          <w:tcPr>
            <w:tcW w:w="666" w:type="dxa"/>
            <w:tcBorders>
              <w:right w:val="single" w:sz="18"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7</w:t>
            </w:r>
          </w:p>
        </w:tc>
      </w:tr>
      <w:tr w:rsidR="002A1964" w:rsidRPr="002A1964" w:rsidTr="001C4CC4">
        <w:tblPrEx>
          <w:tblLook w:val="04A0" w:firstRow="1" w:lastRow="0" w:firstColumn="1" w:lastColumn="0" w:noHBand="0" w:noVBand="1"/>
        </w:tblPrEx>
        <w:trPr>
          <w:jc w:val="center"/>
        </w:trPr>
        <w:tc>
          <w:tcPr>
            <w:tcW w:w="2263" w:type="dxa"/>
            <w:tcBorders>
              <w:left w:val="single" w:sz="18" w:space="0" w:color="auto"/>
              <w:bottom w:val="single" w:sz="4" w:space="0" w:color="auto"/>
              <w:right w:val="single" w:sz="18" w:space="0" w:color="auto"/>
            </w:tcBorders>
            <w:vAlign w:val="center"/>
          </w:tcPr>
          <w:p w:rsidR="002A1964" w:rsidRPr="002A1964" w:rsidRDefault="002A1964" w:rsidP="00A8404D">
            <w:pPr>
              <w:jc w:val="center"/>
              <w:rPr>
                <w:rFonts w:ascii="Times New Roman" w:hAnsi="Times New Roman" w:cs="Times New Roman"/>
                <w:b/>
                <w:sz w:val="20"/>
                <w:szCs w:val="20"/>
              </w:rPr>
            </w:pPr>
            <w:r w:rsidRPr="002A1964">
              <w:rPr>
                <w:rFonts w:ascii="Times New Roman" w:hAnsi="Times New Roman" w:cs="Times New Roman"/>
                <w:b/>
                <w:sz w:val="20"/>
                <w:szCs w:val="20"/>
              </w:rPr>
              <w:t>Градска и општинска управа</w:t>
            </w:r>
          </w:p>
        </w:tc>
        <w:tc>
          <w:tcPr>
            <w:tcW w:w="923" w:type="dxa"/>
            <w:tcBorders>
              <w:left w:val="single" w:sz="18" w:space="0" w:color="auto"/>
              <w:bottom w:val="single" w:sz="4" w:space="0" w:color="auto"/>
            </w:tcBorders>
            <w:vAlign w:val="center"/>
          </w:tcPr>
          <w:p w:rsidR="002A1964" w:rsidRPr="002A1964" w:rsidRDefault="002A1964" w:rsidP="00A8404D">
            <w:pPr>
              <w:jc w:val="center"/>
              <w:rPr>
                <w:rFonts w:ascii="Calibri" w:hAnsi="Calibri" w:cs="Calibri"/>
                <w:color w:val="000000"/>
                <w:sz w:val="20"/>
                <w:szCs w:val="20"/>
                <w:lang w:val="sr-Cyrl-CS"/>
              </w:rPr>
            </w:pPr>
            <w:r w:rsidRPr="002A1964">
              <w:rPr>
                <w:rFonts w:ascii="Calibri" w:hAnsi="Calibri" w:cs="Calibri"/>
                <w:color w:val="000000"/>
                <w:sz w:val="20"/>
                <w:szCs w:val="20"/>
                <w:lang w:val="sr-Cyrl-CS"/>
              </w:rPr>
              <w:t>152</w:t>
            </w:r>
          </w:p>
        </w:tc>
        <w:tc>
          <w:tcPr>
            <w:tcW w:w="512" w:type="dxa"/>
            <w:tcBorders>
              <w:bottom w:val="single" w:sz="4"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4</w:t>
            </w:r>
          </w:p>
        </w:tc>
        <w:tc>
          <w:tcPr>
            <w:tcW w:w="1305" w:type="dxa"/>
            <w:tcBorders>
              <w:bottom w:val="single" w:sz="4" w:space="0" w:color="auto"/>
            </w:tcBorders>
            <w:vAlign w:val="center"/>
          </w:tcPr>
          <w:p w:rsidR="002A1964" w:rsidRPr="002A1964" w:rsidRDefault="002A1964" w:rsidP="00A8404D">
            <w:pPr>
              <w:jc w:val="center"/>
              <w:rPr>
                <w:rFonts w:ascii="Calibri" w:hAnsi="Calibri" w:cs="Calibri"/>
                <w:color w:val="000000"/>
                <w:sz w:val="20"/>
                <w:szCs w:val="20"/>
                <w:lang w:val="sr-Cyrl-CS"/>
              </w:rPr>
            </w:pPr>
            <w:r w:rsidRPr="002A1964">
              <w:rPr>
                <w:rFonts w:ascii="Calibri" w:hAnsi="Calibri" w:cs="Calibri"/>
                <w:color w:val="000000"/>
                <w:sz w:val="20"/>
                <w:szCs w:val="20"/>
                <w:lang w:val="sr-Cyrl-CS"/>
              </w:rPr>
              <w:t>1.270.491</w:t>
            </w:r>
          </w:p>
        </w:tc>
        <w:tc>
          <w:tcPr>
            <w:tcW w:w="521" w:type="dxa"/>
            <w:tcBorders>
              <w:bottom w:val="single" w:sz="4" w:space="0" w:color="auto"/>
              <w:right w:val="single" w:sz="18"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5</w:t>
            </w:r>
          </w:p>
        </w:tc>
        <w:tc>
          <w:tcPr>
            <w:tcW w:w="923" w:type="dxa"/>
            <w:tcBorders>
              <w:left w:val="single" w:sz="18" w:space="0" w:color="auto"/>
              <w:bottom w:val="single" w:sz="4"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lang w:val="sr-Cyrl-CS"/>
              </w:rPr>
              <w:t>78</w:t>
            </w:r>
          </w:p>
        </w:tc>
        <w:tc>
          <w:tcPr>
            <w:tcW w:w="666" w:type="dxa"/>
            <w:tcBorders>
              <w:bottom w:val="single" w:sz="4"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6</w:t>
            </w:r>
          </w:p>
        </w:tc>
        <w:tc>
          <w:tcPr>
            <w:tcW w:w="1345" w:type="dxa"/>
            <w:tcBorders>
              <w:bottom w:val="single" w:sz="4"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lang w:val="sr-Cyrl-CS"/>
              </w:rPr>
              <w:t>126.307</w:t>
            </w:r>
          </w:p>
        </w:tc>
        <w:tc>
          <w:tcPr>
            <w:tcW w:w="666" w:type="dxa"/>
            <w:tcBorders>
              <w:bottom w:val="single" w:sz="4" w:space="0" w:color="auto"/>
              <w:right w:val="single" w:sz="18"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2</w:t>
            </w:r>
          </w:p>
        </w:tc>
      </w:tr>
      <w:tr w:rsidR="002A1964" w:rsidRPr="002A1964" w:rsidTr="001C4CC4">
        <w:tblPrEx>
          <w:tblLook w:val="04A0" w:firstRow="1" w:lastRow="0" w:firstColumn="1" w:lastColumn="0" w:noHBand="0" w:noVBand="1"/>
        </w:tblPrEx>
        <w:trPr>
          <w:jc w:val="center"/>
        </w:trPr>
        <w:tc>
          <w:tcPr>
            <w:tcW w:w="2263" w:type="dxa"/>
            <w:tcBorders>
              <w:top w:val="single" w:sz="4" w:space="0" w:color="auto"/>
              <w:left w:val="single" w:sz="18" w:space="0" w:color="auto"/>
              <w:bottom w:val="single" w:sz="4" w:space="0" w:color="auto"/>
              <w:right w:val="single" w:sz="18" w:space="0" w:color="auto"/>
            </w:tcBorders>
            <w:vAlign w:val="center"/>
          </w:tcPr>
          <w:p w:rsidR="002A1964" w:rsidRPr="002A1964" w:rsidRDefault="002A1964" w:rsidP="00A8404D">
            <w:pPr>
              <w:jc w:val="center"/>
              <w:rPr>
                <w:rFonts w:ascii="Times New Roman" w:hAnsi="Times New Roman" w:cs="Times New Roman"/>
                <w:b/>
                <w:sz w:val="20"/>
                <w:szCs w:val="20"/>
              </w:rPr>
            </w:pPr>
            <w:r w:rsidRPr="002A1964">
              <w:rPr>
                <w:rFonts w:ascii="Times New Roman" w:hAnsi="Times New Roman" w:cs="Times New Roman"/>
                <w:b/>
                <w:sz w:val="20"/>
                <w:szCs w:val="20"/>
              </w:rPr>
              <w:t>Удружења</w:t>
            </w:r>
          </w:p>
        </w:tc>
        <w:tc>
          <w:tcPr>
            <w:tcW w:w="923" w:type="dxa"/>
            <w:tcBorders>
              <w:top w:val="single" w:sz="4" w:space="0" w:color="auto"/>
              <w:left w:val="single" w:sz="18" w:space="0" w:color="auto"/>
              <w:bottom w:val="single" w:sz="4" w:space="0" w:color="auto"/>
            </w:tcBorders>
            <w:vAlign w:val="center"/>
          </w:tcPr>
          <w:p w:rsidR="002A1964" w:rsidRPr="002A1964" w:rsidRDefault="002A1964" w:rsidP="00A8404D">
            <w:pPr>
              <w:jc w:val="center"/>
              <w:rPr>
                <w:rFonts w:ascii="Calibri" w:hAnsi="Calibri" w:cs="Calibri"/>
                <w:b/>
                <w:bCs/>
                <w:color w:val="000000"/>
                <w:sz w:val="20"/>
                <w:szCs w:val="20"/>
                <w:lang w:val="sr-Cyrl-CS"/>
              </w:rPr>
            </w:pPr>
            <w:r w:rsidRPr="002A1964">
              <w:rPr>
                <w:rFonts w:ascii="Calibri" w:hAnsi="Calibri" w:cs="Calibri"/>
                <w:b/>
                <w:bCs/>
                <w:color w:val="000000"/>
                <w:sz w:val="20"/>
                <w:szCs w:val="20"/>
                <w:lang w:val="sr-Cyrl-CS"/>
              </w:rPr>
              <w:t>/</w:t>
            </w:r>
          </w:p>
        </w:tc>
        <w:tc>
          <w:tcPr>
            <w:tcW w:w="512" w:type="dxa"/>
            <w:tcBorders>
              <w:top w:val="single" w:sz="4" w:space="0" w:color="auto"/>
              <w:bottom w:val="single" w:sz="4" w:space="0" w:color="auto"/>
            </w:tcBorders>
            <w:vAlign w:val="center"/>
          </w:tcPr>
          <w:p w:rsidR="002A1964" w:rsidRPr="002A1964" w:rsidRDefault="002A1964" w:rsidP="00A8404D">
            <w:pPr>
              <w:jc w:val="center"/>
              <w:rPr>
                <w:rFonts w:ascii="Calibri" w:hAnsi="Calibri" w:cs="Calibri"/>
                <w:b/>
                <w:color w:val="000000"/>
                <w:sz w:val="20"/>
                <w:szCs w:val="20"/>
              </w:rPr>
            </w:pPr>
            <w:r w:rsidRPr="002A1964">
              <w:rPr>
                <w:rFonts w:ascii="Calibri" w:hAnsi="Calibri" w:cs="Calibri"/>
                <w:b/>
                <w:color w:val="000000"/>
                <w:sz w:val="20"/>
                <w:szCs w:val="20"/>
              </w:rPr>
              <w:t>/</w:t>
            </w:r>
          </w:p>
        </w:tc>
        <w:tc>
          <w:tcPr>
            <w:tcW w:w="1305" w:type="dxa"/>
            <w:tcBorders>
              <w:top w:val="single" w:sz="4" w:space="0" w:color="auto"/>
              <w:bottom w:val="single" w:sz="4" w:space="0" w:color="auto"/>
            </w:tcBorders>
            <w:vAlign w:val="center"/>
          </w:tcPr>
          <w:p w:rsidR="002A1964" w:rsidRPr="002A1964" w:rsidRDefault="002A1964" w:rsidP="00A8404D">
            <w:pPr>
              <w:jc w:val="center"/>
              <w:rPr>
                <w:rFonts w:ascii="Calibri" w:hAnsi="Calibri" w:cs="Calibri"/>
                <w:b/>
                <w:bCs/>
                <w:color w:val="000000"/>
                <w:sz w:val="20"/>
                <w:szCs w:val="20"/>
                <w:lang w:val="sr-Cyrl-CS"/>
              </w:rPr>
            </w:pPr>
            <w:r w:rsidRPr="002A1964">
              <w:rPr>
                <w:rFonts w:ascii="Calibri" w:hAnsi="Calibri" w:cs="Calibri"/>
                <w:b/>
                <w:bCs/>
                <w:color w:val="000000"/>
                <w:sz w:val="20"/>
                <w:szCs w:val="20"/>
                <w:lang w:val="sr-Cyrl-CS"/>
              </w:rPr>
              <w:t>/</w:t>
            </w:r>
          </w:p>
        </w:tc>
        <w:tc>
          <w:tcPr>
            <w:tcW w:w="521" w:type="dxa"/>
            <w:tcBorders>
              <w:top w:val="single" w:sz="4" w:space="0" w:color="auto"/>
              <w:bottom w:val="single" w:sz="4" w:space="0" w:color="auto"/>
              <w:right w:val="single" w:sz="18" w:space="0" w:color="auto"/>
            </w:tcBorders>
            <w:vAlign w:val="center"/>
          </w:tcPr>
          <w:p w:rsidR="002A1964" w:rsidRPr="002A1964" w:rsidRDefault="002A1964" w:rsidP="00A8404D">
            <w:pPr>
              <w:jc w:val="center"/>
              <w:rPr>
                <w:rFonts w:ascii="Calibri" w:hAnsi="Calibri" w:cs="Calibri"/>
                <w:b/>
                <w:color w:val="000000"/>
                <w:sz w:val="20"/>
                <w:szCs w:val="20"/>
              </w:rPr>
            </w:pPr>
            <w:r w:rsidRPr="002A1964">
              <w:rPr>
                <w:rFonts w:ascii="Calibri" w:hAnsi="Calibri" w:cs="Calibri"/>
                <w:b/>
                <w:color w:val="000000"/>
                <w:sz w:val="20"/>
                <w:szCs w:val="20"/>
              </w:rPr>
              <w:t>/</w:t>
            </w:r>
          </w:p>
        </w:tc>
        <w:tc>
          <w:tcPr>
            <w:tcW w:w="923" w:type="dxa"/>
            <w:tcBorders>
              <w:top w:val="single" w:sz="4" w:space="0" w:color="auto"/>
              <w:left w:val="single" w:sz="18" w:space="0" w:color="auto"/>
              <w:bottom w:val="single" w:sz="4"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lang w:val="sr-Cyrl-CS"/>
              </w:rPr>
              <w:t>1</w:t>
            </w:r>
          </w:p>
        </w:tc>
        <w:tc>
          <w:tcPr>
            <w:tcW w:w="666" w:type="dxa"/>
            <w:tcBorders>
              <w:top w:val="single" w:sz="4" w:space="0" w:color="auto"/>
              <w:bottom w:val="single" w:sz="4"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0</w:t>
            </w:r>
          </w:p>
        </w:tc>
        <w:tc>
          <w:tcPr>
            <w:tcW w:w="1345" w:type="dxa"/>
            <w:tcBorders>
              <w:top w:val="single" w:sz="4" w:space="0" w:color="auto"/>
              <w:bottom w:val="single" w:sz="4"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lang w:val="sr-Cyrl-CS"/>
              </w:rPr>
              <w:t>1.000</w:t>
            </w:r>
          </w:p>
        </w:tc>
        <w:tc>
          <w:tcPr>
            <w:tcW w:w="666" w:type="dxa"/>
            <w:tcBorders>
              <w:top w:val="single" w:sz="4" w:space="0" w:color="auto"/>
              <w:bottom w:val="single" w:sz="4" w:space="0" w:color="auto"/>
              <w:right w:val="single" w:sz="18"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0</w:t>
            </w:r>
          </w:p>
        </w:tc>
      </w:tr>
      <w:tr w:rsidR="002A1964" w:rsidRPr="002A1964" w:rsidTr="001C4CC4">
        <w:tblPrEx>
          <w:tblLook w:val="04A0" w:firstRow="1" w:lastRow="0" w:firstColumn="1" w:lastColumn="0" w:noHBand="0" w:noVBand="1"/>
        </w:tblPrEx>
        <w:trPr>
          <w:jc w:val="center"/>
        </w:trPr>
        <w:tc>
          <w:tcPr>
            <w:tcW w:w="2263" w:type="dxa"/>
            <w:tcBorders>
              <w:top w:val="single" w:sz="4" w:space="0" w:color="auto"/>
              <w:left w:val="single" w:sz="18" w:space="0" w:color="auto"/>
              <w:bottom w:val="single" w:sz="18" w:space="0" w:color="auto"/>
              <w:right w:val="single" w:sz="18" w:space="0" w:color="auto"/>
            </w:tcBorders>
            <w:vAlign w:val="center"/>
          </w:tcPr>
          <w:p w:rsidR="002A1964" w:rsidRPr="002A1964" w:rsidRDefault="002A1964" w:rsidP="00A8404D">
            <w:pPr>
              <w:jc w:val="center"/>
              <w:rPr>
                <w:rFonts w:ascii="Times New Roman" w:hAnsi="Times New Roman" w:cs="Times New Roman"/>
                <w:b/>
                <w:sz w:val="20"/>
                <w:szCs w:val="20"/>
              </w:rPr>
            </w:pPr>
            <w:r w:rsidRPr="002A1964">
              <w:rPr>
                <w:rFonts w:ascii="Times New Roman" w:hAnsi="Times New Roman" w:cs="Times New Roman"/>
                <w:b/>
                <w:sz w:val="20"/>
                <w:szCs w:val="20"/>
              </w:rPr>
              <w:t>Фондације и задужбине</w:t>
            </w:r>
          </w:p>
        </w:tc>
        <w:tc>
          <w:tcPr>
            <w:tcW w:w="923" w:type="dxa"/>
            <w:tcBorders>
              <w:top w:val="single" w:sz="4" w:space="0" w:color="auto"/>
              <w:left w:val="single" w:sz="18" w:space="0" w:color="auto"/>
              <w:bottom w:val="single" w:sz="18" w:space="0" w:color="auto"/>
            </w:tcBorders>
            <w:vAlign w:val="center"/>
          </w:tcPr>
          <w:p w:rsidR="002A1964" w:rsidRPr="002A1964" w:rsidRDefault="002A1964" w:rsidP="00A8404D">
            <w:pPr>
              <w:jc w:val="center"/>
              <w:rPr>
                <w:color w:val="000000"/>
                <w:sz w:val="20"/>
                <w:szCs w:val="20"/>
                <w:lang w:val="sr-Cyrl-CS"/>
              </w:rPr>
            </w:pPr>
            <w:r w:rsidRPr="002A1964">
              <w:rPr>
                <w:color w:val="000000"/>
                <w:sz w:val="20"/>
                <w:szCs w:val="20"/>
                <w:lang w:val="sr-Cyrl-CS"/>
              </w:rPr>
              <w:t>/</w:t>
            </w:r>
          </w:p>
        </w:tc>
        <w:tc>
          <w:tcPr>
            <w:tcW w:w="512" w:type="dxa"/>
            <w:tcBorders>
              <w:top w:val="single" w:sz="4" w:space="0" w:color="auto"/>
              <w:bottom w:val="single" w:sz="18"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w:t>
            </w:r>
          </w:p>
        </w:tc>
        <w:tc>
          <w:tcPr>
            <w:tcW w:w="1305" w:type="dxa"/>
            <w:tcBorders>
              <w:top w:val="single" w:sz="4" w:space="0" w:color="auto"/>
              <w:bottom w:val="single" w:sz="18"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w:t>
            </w:r>
          </w:p>
        </w:tc>
        <w:tc>
          <w:tcPr>
            <w:tcW w:w="521" w:type="dxa"/>
            <w:tcBorders>
              <w:top w:val="single" w:sz="4" w:space="0" w:color="auto"/>
              <w:bottom w:val="single" w:sz="18" w:space="0" w:color="auto"/>
              <w:right w:val="single" w:sz="18"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w:t>
            </w:r>
          </w:p>
        </w:tc>
        <w:tc>
          <w:tcPr>
            <w:tcW w:w="923" w:type="dxa"/>
            <w:tcBorders>
              <w:top w:val="single" w:sz="4" w:space="0" w:color="auto"/>
              <w:left w:val="single" w:sz="18" w:space="0" w:color="auto"/>
              <w:bottom w:val="single" w:sz="18"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lang w:val="sr-Cyrl-CS"/>
              </w:rPr>
              <w:t>0</w:t>
            </w:r>
          </w:p>
        </w:tc>
        <w:tc>
          <w:tcPr>
            <w:tcW w:w="666" w:type="dxa"/>
            <w:tcBorders>
              <w:top w:val="single" w:sz="4" w:space="0" w:color="auto"/>
              <w:bottom w:val="single" w:sz="18"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0</w:t>
            </w:r>
          </w:p>
        </w:tc>
        <w:tc>
          <w:tcPr>
            <w:tcW w:w="1345" w:type="dxa"/>
            <w:tcBorders>
              <w:top w:val="single" w:sz="4" w:space="0" w:color="auto"/>
              <w:bottom w:val="single" w:sz="18"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lang w:val="sr-Cyrl-CS"/>
              </w:rPr>
              <w:t>0</w:t>
            </w:r>
          </w:p>
        </w:tc>
        <w:tc>
          <w:tcPr>
            <w:tcW w:w="666" w:type="dxa"/>
            <w:tcBorders>
              <w:top w:val="single" w:sz="4" w:space="0" w:color="auto"/>
              <w:bottom w:val="single" w:sz="18" w:space="0" w:color="auto"/>
              <w:right w:val="single" w:sz="18" w:space="0" w:color="auto"/>
            </w:tcBorders>
            <w:vAlign w:val="center"/>
          </w:tcPr>
          <w:p w:rsidR="002A1964" w:rsidRPr="002A1964" w:rsidRDefault="002A1964" w:rsidP="00A8404D">
            <w:pPr>
              <w:jc w:val="center"/>
              <w:rPr>
                <w:rFonts w:ascii="Calibri" w:hAnsi="Calibri" w:cs="Calibri"/>
                <w:color w:val="000000"/>
                <w:sz w:val="20"/>
                <w:szCs w:val="20"/>
              </w:rPr>
            </w:pPr>
            <w:r w:rsidRPr="002A1964">
              <w:rPr>
                <w:rFonts w:ascii="Calibri" w:hAnsi="Calibri" w:cs="Calibri"/>
                <w:color w:val="000000"/>
                <w:sz w:val="20"/>
                <w:szCs w:val="20"/>
              </w:rPr>
              <w:t>0</w:t>
            </w:r>
          </w:p>
        </w:tc>
      </w:tr>
      <w:tr w:rsidR="002A1964" w:rsidRPr="002A1964" w:rsidTr="001C4CC4">
        <w:tblPrEx>
          <w:tblLook w:val="04A0" w:firstRow="1" w:lastRow="0" w:firstColumn="1" w:lastColumn="0" w:noHBand="0" w:noVBand="1"/>
        </w:tblPrEx>
        <w:trPr>
          <w:jc w:val="center"/>
        </w:trPr>
        <w:tc>
          <w:tcPr>
            <w:tcW w:w="2263" w:type="dxa"/>
            <w:tcBorders>
              <w:top w:val="single" w:sz="18" w:space="0" w:color="auto"/>
              <w:left w:val="single" w:sz="18" w:space="0" w:color="auto"/>
              <w:bottom w:val="single" w:sz="18" w:space="0" w:color="auto"/>
              <w:right w:val="single" w:sz="18" w:space="0" w:color="auto"/>
            </w:tcBorders>
            <w:vAlign w:val="center"/>
          </w:tcPr>
          <w:p w:rsidR="002A1964" w:rsidRPr="002A1964" w:rsidRDefault="002A1964" w:rsidP="00A8404D">
            <w:pPr>
              <w:jc w:val="center"/>
              <w:rPr>
                <w:rFonts w:ascii="Times New Roman" w:hAnsi="Times New Roman" w:cs="Times New Roman"/>
                <w:b/>
                <w:sz w:val="20"/>
                <w:szCs w:val="20"/>
              </w:rPr>
            </w:pPr>
            <w:r w:rsidRPr="002A1964">
              <w:rPr>
                <w:rFonts w:ascii="Times New Roman" w:hAnsi="Times New Roman" w:cs="Times New Roman"/>
                <w:b/>
                <w:sz w:val="20"/>
                <w:szCs w:val="20"/>
              </w:rPr>
              <w:t>Укупно</w:t>
            </w:r>
          </w:p>
        </w:tc>
        <w:tc>
          <w:tcPr>
            <w:tcW w:w="923" w:type="dxa"/>
            <w:tcBorders>
              <w:top w:val="single" w:sz="18" w:space="0" w:color="auto"/>
              <w:left w:val="single" w:sz="18" w:space="0" w:color="auto"/>
              <w:bottom w:val="single" w:sz="18" w:space="0" w:color="auto"/>
            </w:tcBorders>
            <w:vAlign w:val="center"/>
          </w:tcPr>
          <w:p w:rsidR="002A1964" w:rsidRPr="002A1964" w:rsidRDefault="002A1964" w:rsidP="00A8404D">
            <w:pPr>
              <w:jc w:val="center"/>
              <w:rPr>
                <w:rFonts w:ascii="Calibri" w:hAnsi="Calibri" w:cs="Calibri"/>
                <w:b/>
                <w:bCs/>
                <w:color w:val="000000"/>
                <w:sz w:val="20"/>
                <w:szCs w:val="20"/>
                <w:lang w:val="sr-Cyrl-CS"/>
              </w:rPr>
            </w:pPr>
            <w:r w:rsidRPr="002A1964">
              <w:rPr>
                <w:rFonts w:ascii="Calibri" w:hAnsi="Calibri" w:cs="Calibri"/>
                <w:b/>
                <w:bCs/>
                <w:color w:val="000000"/>
                <w:sz w:val="20"/>
                <w:szCs w:val="20"/>
                <w:lang w:val="sr-Cyrl-CS"/>
              </w:rPr>
              <w:t>3.617</w:t>
            </w:r>
          </w:p>
        </w:tc>
        <w:tc>
          <w:tcPr>
            <w:tcW w:w="512" w:type="dxa"/>
            <w:tcBorders>
              <w:top w:val="single" w:sz="18" w:space="0" w:color="auto"/>
              <w:bottom w:val="single" w:sz="18" w:space="0" w:color="auto"/>
            </w:tcBorders>
            <w:vAlign w:val="center"/>
          </w:tcPr>
          <w:p w:rsidR="002A1964" w:rsidRPr="002A1964" w:rsidRDefault="002A1964" w:rsidP="00A8404D">
            <w:pPr>
              <w:jc w:val="center"/>
              <w:rPr>
                <w:rFonts w:ascii="Calibri" w:hAnsi="Calibri" w:cs="Calibri"/>
                <w:b/>
                <w:color w:val="000000"/>
                <w:sz w:val="20"/>
                <w:szCs w:val="20"/>
              </w:rPr>
            </w:pPr>
            <w:r w:rsidRPr="002A1964">
              <w:rPr>
                <w:rFonts w:ascii="Calibri" w:hAnsi="Calibri" w:cs="Calibri"/>
                <w:b/>
                <w:color w:val="000000"/>
                <w:sz w:val="20"/>
                <w:szCs w:val="20"/>
              </w:rPr>
              <w:t>100</w:t>
            </w:r>
          </w:p>
        </w:tc>
        <w:tc>
          <w:tcPr>
            <w:tcW w:w="1305" w:type="dxa"/>
            <w:tcBorders>
              <w:top w:val="single" w:sz="18" w:space="0" w:color="auto"/>
              <w:bottom w:val="single" w:sz="18" w:space="0" w:color="auto"/>
            </w:tcBorders>
            <w:vAlign w:val="center"/>
          </w:tcPr>
          <w:p w:rsidR="002A1964" w:rsidRPr="002A1964" w:rsidRDefault="002A1964" w:rsidP="00A8404D">
            <w:pPr>
              <w:jc w:val="center"/>
              <w:rPr>
                <w:rFonts w:ascii="Calibri" w:hAnsi="Calibri" w:cs="Calibri"/>
                <w:b/>
                <w:bCs/>
                <w:color w:val="000000"/>
                <w:sz w:val="20"/>
                <w:szCs w:val="20"/>
                <w:lang w:val="sr-Cyrl-CS"/>
              </w:rPr>
            </w:pPr>
            <w:r w:rsidRPr="002A1964">
              <w:rPr>
                <w:rFonts w:ascii="Calibri" w:hAnsi="Calibri" w:cs="Calibri"/>
                <w:b/>
                <w:bCs/>
                <w:color w:val="000000"/>
                <w:sz w:val="20"/>
                <w:szCs w:val="20"/>
                <w:lang w:val="sr-Cyrl-CS"/>
              </w:rPr>
              <w:t>26.805.367</w:t>
            </w:r>
          </w:p>
        </w:tc>
        <w:tc>
          <w:tcPr>
            <w:tcW w:w="521" w:type="dxa"/>
            <w:tcBorders>
              <w:top w:val="single" w:sz="18" w:space="0" w:color="auto"/>
              <w:bottom w:val="single" w:sz="18" w:space="0" w:color="auto"/>
              <w:right w:val="single" w:sz="18" w:space="0" w:color="auto"/>
            </w:tcBorders>
            <w:vAlign w:val="center"/>
          </w:tcPr>
          <w:p w:rsidR="002A1964" w:rsidRPr="002A1964" w:rsidRDefault="002A1964" w:rsidP="00A8404D">
            <w:pPr>
              <w:jc w:val="center"/>
              <w:rPr>
                <w:rFonts w:ascii="Calibri" w:hAnsi="Calibri" w:cs="Calibri"/>
                <w:b/>
                <w:color w:val="000000"/>
                <w:sz w:val="20"/>
                <w:szCs w:val="20"/>
              </w:rPr>
            </w:pPr>
            <w:r w:rsidRPr="002A1964">
              <w:rPr>
                <w:rFonts w:ascii="Calibri" w:hAnsi="Calibri" w:cs="Calibri"/>
                <w:b/>
                <w:color w:val="000000"/>
                <w:sz w:val="20"/>
                <w:szCs w:val="20"/>
              </w:rPr>
              <w:t>100</w:t>
            </w:r>
          </w:p>
        </w:tc>
        <w:tc>
          <w:tcPr>
            <w:tcW w:w="923" w:type="dxa"/>
            <w:tcBorders>
              <w:top w:val="single" w:sz="18" w:space="0" w:color="auto"/>
              <w:left w:val="single" w:sz="18" w:space="0" w:color="auto"/>
              <w:bottom w:val="single" w:sz="18" w:space="0" w:color="auto"/>
            </w:tcBorders>
            <w:vAlign w:val="center"/>
          </w:tcPr>
          <w:p w:rsidR="002A1964" w:rsidRPr="002A1964" w:rsidRDefault="002A1964" w:rsidP="00A8404D">
            <w:pPr>
              <w:jc w:val="center"/>
              <w:rPr>
                <w:rFonts w:ascii="Calibri" w:hAnsi="Calibri" w:cs="Calibri"/>
                <w:b/>
                <w:color w:val="000000"/>
                <w:sz w:val="20"/>
                <w:szCs w:val="20"/>
              </w:rPr>
            </w:pPr>
            <w:r w:rsidRPr="002A1964">
              <w:rPr>
                <w:rFonts w:ascii="Calibri" w:hAnsi="Calibri" w:cs="Calibri"/>
                <w:b/>
                <w:color w:val="000000"/>
                <w:sz w:val="20"/>
                <w:szCs w:val="20"/>
              </w:rPr>
              <w:t>1.418</w:t>
            </w:r>
          </w:p>
        </w:tc>
        <w:tc>
          <w:tcPr>
            <w:tcW w:w="666" w:type="dxa"/>
            <w:tcBorders>
              <w:top w:val="single" w:sz="18" w:space="0" w:color="auto"/>
              <w:bottom w:val="single" w:sz="18" w:space="0" w:color="auto"/>
            </w:tcBorders>
            <w:vAlign w:val="center"/>
          </w:tcPr>
          <w:p w:rsidR="002A1964" w:rsidRPr="002A1964" w:rsidRDefault="002A1964" w:rsidP="00A8404D">
            <w:pPr>
              <w:jc w:val="center"/>
              <w:rPr>
                <w:rFonts w:ascii="Calibri" w:hAnsi="Calibri" w:cs="Calibri"/>
                <w:b/>
                <w:color w:val="000000"/>
                <w:sz w:val="20"/>
                <w:szCs w:val="20"/>
              </w:rPr>
            </w:pPr>
            <w:r w:rsidRPr="002A1964">
              <w:rPr>
                <w:rFonts w:ascii="Calibri" w:hAnsi="Calibri" w:cs="Calibri"/>
                <w:b/>
                <w:color w:val="000000"/>
                <w:sz w:val="20"/>
                <w:szCs w:val="20"/>
              </w:rPr>
              <w:t>100%</w:t>
            </w:r>
          </w:p>
        </w:tc>
        <w:tc>
          <w:tcPr>
            <w:tcW w:w="1345" w:type="dxa"/>
            <w:tcBorders>
              <w:top w:val="single" w:sz="18" w:space="0" w:color="auto"/>
              <w:bottom w:val="single" w:sz="18" w:space="0" w:color="auto"/>
            </w:tcBorders>
            <w:vAlign w:val="center"/>
          </w:tcPr>
          <w:p w:rsidR="002A1964" w:rsidRPr="002A1964" w:rsidRDefault="002A1964" w:rsidP="00A8404D">
            <w:pPr>
              <w:jc w:val="center"/>
              <w:rPr>
                <w:rFonts w:ascii="Calibri" w:hAnsi="Calibri" w:cs="Calibri"/>
                <w:b/>
                <w:color w:val="000000"/>
                <w:sz w:val="20"/>
                <w:szCs w:val="20"/>
              </w:rPr>
            </w:pPr>
            <w:r w:rsidRPr="002A1964">
              <w:rPr>
                <w:rFonts w:ascii="Calibri" w:hAnsi="Calibri" w:cs="Calibri"/>
                <w:b/>
                <w:color w:val="000000"/>
                <w:sz w:val="20"/>
                <w:szCs w:val="20"/>
              </w:rPr>
              <w:t>5.186.486</w:t>
            </w:r>
          </w:p>
        </w:tc>
        <w:tc>
          <w:tcPr>
            <w:tcW w:w="666" w:type="dxa"/>
            <w:tcBorders>
              <w:top w:val="single" w:sz="18" w:space="0" w:color="auto"/>
              <w:bottom w:val="single" w:sz="18" w:space="0" w:color="auto"/>
              <w:right w:val="single" w:sz="18" w:space="0" w:color="auto"/>
            </w:tcBorders>
            <w:vAlign w:val="center"/>
          </w:tcPr>
          <w:p w:rsidR="002A1964" w:rsidRPr="002A1964" w:rsidRDefault="002A1964" w:rsidP="00A8404D">
            <w:pPr>
              <w:jc w:val="center"/>
              <w:rPr>
                <w:rFonts w:ascii="Calibri" w:hAnsi="Calibri" w:cs="Calibri"/>
                <w:b/>
                <w:color w:val="000000"/>
                <w:sz w:val="20"/>
                <w:szCs w:val="20"/>
              </w:rPr>
            </w:pPr>
            <w:r w:rsidRPr="002A1964">
              <w:rPr>
                <w:rFonts w:ascii="Calibri" w:hAnsi="Calibri" w:cs="Calibri"/>
                <w:b/>
                <w:color w:val="000000"/>
                <w:sz w:val="20"/>
                <w:szCs w:val="20"/>
              </w:rPr>
              <w:t>100%</w:t>
            </w:r>
          </w:p>
        </w:tc>
      </w:tr>
    </w:tbl>
    <w:p w:rsidR="00FC3DDD" w:rsidRPr="00BE14E5" w:rsidRDefault="00C854A3" w:rsidP="004E5018">
      <w:pPr>
        <w:rPr>
          <w:rFonts w:ascii="Times New Roman" w:hAnsi="Times New Roman" w:cs="Times New Roman"/>
        </w:rPr>
      </w:pPr>
      <w:r>
        <w:rPr>
          <w:rFonts w:ascii="Times New Roman" w:hAnsi="Times New Roman" w:cs="Times New Roman"/>
          <w:lang w:val="sr-Cyrl-RS"/>
        </w:rPr>
        <w:t xml:space="preserve">              </w:t>
      </w:r>
      <w:r w:rsidR="004E5018" w:rsidRPr="00BE14E5">
        <w:rPr>
          <w:rFonts w:ascii="Times New Roman" w:hAnsi="Times New Roman" w:cs="Times New Roman"/>
        </w:rPr>
        <w:t>*вреднос</w:t>
      </w:r>
      <w:r w:rsidR="00C922D1" w:rsidRPr="00BE14E5">
        <w:rPr>
          <w:rFonts w:ascii="Times New Roman" w:hAnsi="Times New Roman" w:cs="Times New Roman"/>
        </w:rPr>
        <w:t>ти су изражене</w:t>
      </w:r>
      <w:r w:rsidR="00FC3DDD" w:rsidRPr="00BE14E5">
        <w:rPr>
          <w:rFonts w:ascii="Times New Roman" w:hAnsi="Times New Roman" w:cs="Times New Roman"/>
        </w:rPr>
        <w:t xml:space="preserve"> у хиљадама динар</w:t>
      </w:r>
      <w:r w:rsidR="00C922D1" w:rsidRPr="00BE14E5">
        <w:rPr>
          <w:rFonts w:ascii="Times New Roman" w:hAnsi="Times New Roman" w:cs="Times New Roman"/>
        </w:rPr>
        <w:t>а</w:t>
      </w:r>
    </w:p>
    <w:p w:rsidR="002A6366" w:rsidRDefault="00D56073" w:rsidP="001C4CC4">
      <w:pPr>
        <w:jc w:val="both"/>
        <w:rPr>
          <w:rFonts w:ascii="Times New Roman" w:hAnsi="Times New Roman" w:cs="Times New Roman"/>
          <w:sz w:val="24"/>
          <w:szCs w:val="24"/>
        </w:rPr>
      </w:pPr>
      <w:r>
        <w:rPr>
          <w:rFonts w:ascii="Times New Roman" w:hAnsi="Times New Roman" w:cs="Times New Roman"/>
          <w:sz w:val="24"/>
          <w:szCs w:val="24"/>
        </w:rPr>
        <w:t>Преговарачки поступ</w:t>
      </w:r>
      <w:r w:rsidR="00FE45ED">
        <w:rPr>
          <w:rFonts w:ascii="Times New Roman" w:hAnsi="Times New Roman" w:cs="Times New Roman"/>
          <w:sz w:val="24"/>
          <w:szCs w:val="24"/>
        </w:rPr>
        <w:t xml:space="preserve">ак </w:t>
      </w:r>
      <w:r>
        <w:rPr>
          <w:rFonts w:ascii="Times New Roman" w:hAnsi="Times New Roman" w:cs="Times New Roman"/>
          <w:sz w:val="24"/>
          <w:szCs w:val="24"/>
        </w:rPr>
        <w:t>без објављивања би</w:t>
      </w:r>
      <w:r w:rsidR="00FE45ED">
        <w:rPr>
          <w:rFonts w:ascii="Times New Roman" w:hAnsi="Times New Roman" w:cs="Times New Roman"/>
          <w:sz w:val="24"/>
          <w:szCs w:val="24"/>
        </w:rPr>
        <w:t>о</w:t>
      </w:r>
      <w:r w:rsidR="001C4CC4">
        <w:rPr>
          <w:rFonts w:ascii="Times New Roman" w:hAnsi="Times New Roman" w:cs="Times New Roman"/>
          <w:sz w:val="24"/>
          <w:szCs w:val="24"/>
          <w:lang w:val="sr-Cyrl-RS"/>
        </w:rPr>
        <w:t xml:space="preserve"> </w:t>
      </w:r>
      <w:r w:rsidR="00FE45ED">
        <w:rPr>
          <w:rFonts w:ascii="Times New Roman" w:hAnsi="Times New Roman" w:cs="Times New Roman"/>
          <w:sz w:val="24"/>
          <w:szCs w:val="24"/>
        </w:rPr>
        <w:t>је</w:t>
      </w:r>
      <w:r w:rsidR="002A6366">
        <w:rPr>
          <w:rFonts w:ascii="Times New Roman" w:hAnsi="Times New Roman" w:cs="Times New Roman"/>
          <w:sz w:val="24"/>
          <w:szCs w:val="24"/>
        </w:rPr>
        <w:t xml:space="preserve">, у </w:t>
      </w:r>
      <w:r w:rsidR="00C80D01">
        <w:rPr>
          <w:rFonts w:ascii="Times New Roman" w:hAnsi="Times New Roman" w:cs="Times New Roman"/>
          <w:sz w:val="24"/>
          <w:szCs w:val="24"/>
        </w:rPr>
        <w:t xml:space="preserve">првом </w:t>
      </w:r>
      <w:r w:rsidR="001C4CC4">
        <w:rPr>
          <w:rFonts w:ascii="Times New Roman" w:hAnsi="Times New Roman" w:cs="Times New Roman"/>
          <w:sz w:val="24"/>
          <w:szCs w:val="24"/>
          <w:lang w:val="sr-Cyrl-RS"/>
        </w:rPr>
        <w:t xml:space="preserve">полугодишту </w:t>
      </w:r>
      <w:r w:rsidR="00C80D01">
        <w:rPr>
          <w:rFonts w:ascii="Times New Roman" w:hAnsi="Times New Roman" w:cs="Times New Roman"/>
          <w:sz w:val="24"/>
          <w:szCs w:val="24"/>
        </w:rPr>
        <w:t xml:space="preserve"> </w:t>
      </w:r>
      <w:r w:rsidR="002A6366">
        <w:rPr>
          <w:rFonts w:ascii="Times New Roman" w:hAnsi="Times New Roman" w:cs="Times New Roman"/>
          <w:sz w:val="24"/>
          <w:szCs w:val="24"/>
        </w:rPr>
        <w:t>201</w:t>
      </w:r>
      <w:r w:rsidR="00C80D01">
        <w:rPr>
          <w:rFonts w:ascii="Times New Roman" w:hAnsi="Times New Roman" w:cs="Times New Roman"/>
          <w:sz w:val="24"/>
          <w:szCs w:val="24"/>
        </w:rPr>
        <w:t>4. године</w:t>
      </w:r>
      <w:r w:rsidR="002A6366">
        <w:rPr>
          <w:rFonts w:ascii="Times New Roman" w:hAnsi="Times New Roman" w:cs="Times New Roman"/>
          <w:sz w:val="24"/>
          <w:szCs w:val="24"/>
        </w:rPr>
        <w:t>,</w:t>
      </w:r>
      <w:r>
        <w:rPr>
          <w:rFonts w:ascii="Times New Roman" w:hAnsi="Times New Roman" w:cs="Times New Roman"/>
          <w:sz w:val="24"/>
          <w:szCs w:val="24"/>
        </w:rPr>
        <w:t xml:space="preserve"> најзаступљенији </w:t>
      </w:r>
      <w:r w:rsidR="00230198">
        <w:rPr>
          <w:rFonts w:ascii="Times New Roman" w:hAnsi="Times New Roman" w:cs="Times New Roman"/>
          <w:sz w:val="24"/>
          <w:szCs w:val="24"/>
        </w:rPr>
        <w:t xml:space="preserve">у </w:t>
      </w:r>
      <w:r w:rsidR="00C80D01">
        <w:rPr>
          <w:rFonts w:ascii="Times New Roman" w:hAnsi="Times New Roman" w:cs="Times New Roman"/>
          <w:sz w:val="24"/>
          <w:szCs w:val="24"/>
        </w:rPr>
        <w:t xml:space="preserve">категорији јавних предузећа (39%) и </w:t>
      </w:r>
      <w:r w:rsidR="00230198">
        <w:rPr>
          <w:rFonts w:ascii="Times New Roman" w:hAnsi="Times New Roman" w:cs="Times New Roman"/>
          <w:sz w:val="24"/>
          <w:szCs w:val="24"/>
        </w:rPr>
        <w:t xml:space="preserve">здравству </w:t>
      </w:r>
      <w:r>
        <w:rPr>
          <w:rFonts w:ascii="Times New Roman" w:hAnsi="Times New Roman" w:cs="Times New Roman"/>
          <w:sz w:val="24"/>
          <w:szCs w:val="24"/>
        </w:rPr>
        <w:t>(</w:t>
      </w:r>
      <w:r w:rsidR="00C80D01">
        <w:rPr>
          <w:rFonts w:ascii="Times New Roman" w:hAnsi="Times New Roman" w:cs="Times New Roman"/>
          <w:sz w:val="24"/>
          <w:szCs w:val="24"/>
        </w:rPr>
        <w:t>36</w:t>
      </w:r>
      <w:r>
        <w:rPr>
          <w:rFonts w:ascii="Times New Roman" w:hAnsi="Times New Roman" w:cs="Times New Roman"/>
          <w:sz w:val="24"/>
          <w:szCs w:val="24"/>
        </w:rPr>
        <w:t>%)</w:t>
      </w:r>
      <w:r w:rsidR="00061843">
        <w:rPr>
          <w:rFonts w:ascii="Times New Roman" w:hAnsi="Times New Roman" w:cs="Times New Roman"/>
          <w:sz w:val="24"/>
          <w:szCs w:val="24"/>
          <w:lang w:val="sr-Cyrl-RS"/>
        </w:rPr>
        <w:t>,</w:t>
      </w:r>
      <w:r w:rsidR="00C80D01">
        <w:rPr>
          <w:rFonts w:ascii="Times New Roman" w:hAnsi="Times New Roman" w:cs="Times New Roman"/>
          <w:sz w:val="24"/>
          <w:szCs w:val="24"/>
        </w:rPr>
        <w:t xml:space="preserve"> ш</w:t>
      </w:r>
      <w:r w:rsidR="00230198">
        <w:rPr>
          <w:rFonts w:ascii="Times New Roman" w:hAnsi="Times New Roman" w:cs="Times New Roman"/>
          <w:sz w:val="24"/>
          <w:szCs w:val="24"/>
        </w:rPr>
        <w:t>то значи д</w:t>
      </w:r>
      <w:r>
        <w:rPr>
          <w:rFonts w:ascii="Times New Roman" w:hAnsi="Times New Roman" w:cs="Times New Roman"/>
          <w:sz w:val="24"/>
          <w:szCs w:val="24"/>
        </w:rPr>
        <w:t xml:space="preserve">а су </w:t>
      </w:r>
      <w:r w:rsidR="00CA10A3">
        <w:rPr>
          <w:rFonts w:ascii="Times New Roman" w:hAnsi="Times New Roman" w:cs="Times New Roman"/>
          <w:sz w:val="24"/>
          <w:szCs w:val="24"/>
        </w:rPr>
        <w:t xml:space="preserve">наручиоци из ове две категорије реализовали </w:t>
      </w:r>
      <w:r w:rsidR="00C80D01">
        <w:rPr>
          <w:rFonts w:ascii="Times New Roman" w:hAnsi="Times New Roman" w:cs="Times New Roman"/>
          <w:sz w:val="24"/>
          <w:szCs w:val="24"/>
        </w:rPr>
        <w:t>3</w:t>
      </w:r>
      <w:r w:rsidR="00230198">
        <w:rPr>
          <w:rFonts w:ascii="Times New Roman" w:hAnsi="Times New Roman" w:cs="Times New Roman"/>
          <w:sz w:val="24"/>
          <w:szCs w:val="24"/>
        </w:rPr>
        <w:t>/</w:t>
      </w:r>
      <w:r w:rsidR="00C80D01">
        <w:rPr>
          <w:rFonts w:ascii="Times New Roman" w:hAnsi="Times New Roman" w:cs="Times New Roman"/>
          <w:sz w:val="24"/>
          <w:szCs w:val="24"/>
        </w:rPr>
        <w:t>4</w:t>
      </w:r>
      <w:r w:rsidR="00230198">
        <w:rPr>
          <w:rFonts w:ascii="Times New Roman" w:hAnsi="Times New Roman" w:cs="Times New Roman"/>
          <w:sz w:val="24"/>
          <w:szCs w:val="24"/>
        </w:rPr>
        <w:t xml:space="preserve"> у</w:t>
      </w:r>
      <w:r w:rsidR="00CA10A3">
        <w:rPr>
          <w:rFonts w:ascii="Times New Roman" w:hAnsi="Times New Roman" w:cs="Times New Roman"/>
          <w:sz w:val="24"/>
          <w:szCs w:val="24"/>
        </w:rPr>
        <w:t>купне вредности преговарачк</w:t>
      </w:r>
      <w:r w:rsidR="00FE45ED">
        <w:rPr>
          <w:rFonts w:ascii="Times New Roman" w:hAnsi="Times New Roman" w:cs="Times New Roman"/>
          <w:sz w:val="24"/>
          <w:szCs w:val="24"/>
        </w:rPr>
        <w:t>ог</w:t>
      </w:r>
      <w:r w:rsidR="00CA10A3">
        <w:rPr>
          <w:rFonts w:ascii="Times New Roman" w:hAnsi="Times New Roman" w:cs="Times New Roman"/>
          <w:sz w:val="24"/>
          <w:szCs w:val="24"/>
        </w:rPr>
        <w:t xml:space="preserve"> поступка</w:t>
      </w:r>
      <w:r w:rsidR="00230198">
        <w:rPr>
          <w:rFonts w:ascii="Times New Roman" w:hAnsi="Times New Roman" w:cs="Times New Roman"/>
          <w:sz w:val="24"/>
          <w:szCs w:val="24"/>
        </w:rPr>
        <w:t xml:space="preserve"> без објављивања </w:t>
      </w:r>
      <w:r w:rsidR="00443A88">
        <w:rPr>
          <w:rFonts w:ascii="Times New Roman" w:hAnsi="Times New Roman" w:cs="Times New Roman"/>
          <w:sz w:val="24"/>
          <w:szCs w:val="24"/>
        </w:rPr>
        <w:t>позива за подношење понуда</w:t>
      </w:r>
      <w:r w:rsidR="00CA10A3">
        <w:rPr>
          <w:rFonts w:ascii="Times New Roman" w:hAnsi="Times New Roman" w:cs="Times New Roman"/>
          <w:sz w:val="24"/>
          <w:szCs w:val="24"/>
        </w:rPr>
        <w:t xml:space="preserve">. </w:t>
      </w:r>
      <w:r w:rsidR="00C80D01">
        <w:rPr>
          <w:rFonts w:ascii="Times New Roman" w:hAnsi="Times New Roman" w:cs="Times New Roman"/>
          <w:sz w:val="24"/>
          <w:szCs w:val="24"/>
        </w:rPr>
        <w:t>У поређењу са истим периодом претходне године, к</w:t>
      </w:r>
      <w:r w:rsidR="002A6366">
        <w:rPr>
          <w:rFonts w:ascii="Times New Roman" w:hAnsi="Times New Roman" w:cs="Times New Roman"/>
          <w:sz w:val="24"/>
          <w:szCs w:val="24"/>
        </w:rPr>
        <w:t xml:space="preserve">од </w:t>
      </w:r>
      <w:r w:rsidR="00C80D01">
        <w:rPr>
          <w:rFonts w:ascii="Times New Roman" w:hAnsi="Times New Roman" w:cs="Times New Roman"/>
          <w:sz w:val="24"/>
          <w:szCs w:val="24"/>
        </w:rPr>
        <w:t xml:space="preserve">јавних предузећа дошло је до повећања учешћа, са 33 на 39%, док је код здравства смањена заступљеност преговарачког поступка са 52 на 36% као резултат превазилажења ванредне ситуације поводом увођења централизованих набавки која је настала у првој половини 2013. </w:t>
      </w:r>
      <w:r w:rsidR="001C4CC4">
        <w:rPr>
          <w:rFonts w:ascii="Times New Roman" w:hAnsi="Times New Roman" w:cs="Times New Roman"/>
          <w:sz w:val="24"/>
          <w:szCs w:val="24"/>
          <w:lang w:val="sr-Cyrl-RS"/>
        </w:rPr>
        <w:t>г</w:t>
      </w:r>
      <w:r w:rsidR="00C80D01">
        <w:rPr>
          <w:rFonts w:ascii="Times New Roman" w:hAnsi="Times New Roman" w:cs="Times New Roman"/>
          <w:sz w:val="24"/>
          <w:szCs w:val="24"/>
        </w:rPr>
        <w:t>одине</w:t>
      </w:r>
      <w:r w:rsidR="001C4CC4">
        <w:rPr>
          <w:rFonts w:ascii="Times New Roman" w:hAnsi="Times New Roman" w:cs="Times New Roman"/>
          <w:sz w:val="24"/>
          <w:szCs w:val="24"/>
          <w:lang w:val="sr-Cyrl-RS"/>
        </w:rPr>
        <w:t>,</w:t>
      </w:r>
      <w:r w:rsidR="00212752">
        <w:rPr>
          <w:rFonts w:ascii="Times New Roman" w:hAnsi="Times New Roman" w:cs="Times New Roman"/>
          <w:sz w:val="24"/>
          <w:szCs w:val="24"/>
        </w:rPr>
        <w:t xml:space="preserve"> услед чега је половина вредности преговарачких поступака у том периоду реализована у здравству. </w:t>
      </w:r>
    </w:p>
    <w:p w:rsidR="00FE45ED" w:rsidRPr="00D563B4" w:rsidRDefault="00FE45ED" w:rsidP="00FE45ED">
      <w:pPr>
        <w:jc w:val="both"/>
        <w:rPr>
          <w:rFonts w:ascii="Times New Roman" w:hAnsi="Times New Roman" w:cs="Times New Roman"/>
          <w:sz w:val="24"/>
          <w:szCs w:val="24"/>
        </w:rPr>
      </w:pPr>
      <w:r>
        <w:rPr>
          <w:rFonts w:ascii="Times New Roman" w:hAnsi="Times New Roman" w:cs="Times New Roman"/>
          <w:sz w:val="24"/>
          <w:szCs w:val="24"/>
        </w:rPr>
        <w:t xml:space="preserve">Полазећи од тога да је смањивање учешћа преговарачког </w:t>
      </w:r>
      <w:r w:rsidR="0090117B">
        <w:rPr>
          <w:rFonts w:ascii="Times New Roman" w:hAnsi="Times New Roman" w:cs="Times New Roman"/>
          <w:sz w:val="24"/>
          <w:szCs w:val="24"/>
        </w:rPr>
        <w:t>поступка без објављивања, као не</w:t>
      </w:r>
      <w:r>
        <w:rPr>
          <w:rFonts w:ascii="Times New Roman" w:hAnsi="Times New Roman" w:cs="Times New Roman"/>
          <w:sz w:val="24"/>
          <w:szCs w:val="24"/>
        </w:rPr>
        <w:t>транспарентног и неконкурентног поступка, постављен</w:t>
      </w:r>
      <w:r w:rsidR="00D563B4">
        <w:rPr>
          <w:rFonts w:ascii="Times New Roman" w:hAnsi="Times New Roman" w:cs="Times New Roman"/>
          <w:sz w:val="24"/>
          <w:szCs w:val="24"/>
        </w:rPr>
        <w:t>о</w:t>
      </w:r>
      <w:r>
        <w:rPr>
          <w:rFonts w:ascii="Times New Roman" w:hAnsi="Times New Roman" w:cs="Times New Roman"/>
          <w:sz w:val="24"/>
          <w:szCs w:val="24"/>
        </w:rPr>
        <w:t xml:space="preserve"> као циљ у Програму рада Владе и као обавеза у спровођењу Акционог плана за испуњавање препорука из Годишњег извештаја о напретку Европске комисије, важно је </w:t>
      </w:r>
      <w:r w:rsidR="00D563B4">
        <w:rPr>
          <w:rFonts w:ascii="Times New Roman" w:hAnsi="Times New Roman" w:cs="Times New Roman"/>
          <w:sz w:val="24"/>
          <w:szCs w:val="24"/>
        </w:rPr>
        <w:t xml:space="preserve">да се </w:t>
      </w:r>
      <w:r w:rsidR="001A74A8">
        <w:rPr>
          <w:rFonts w:ascii="Times New Roman" w:hAnsi="Times New Roman" w:cs="Times New Roman"/>
          <w:sz w:val="24"/>
          <w:szCs w:val="24"/>
        </w:rPr>
        <w:t xml:space="preserve">и </w:t>
      </w:r>
      <w:r w:rsidR="00D563B4">
        <w:rPr>
          <w:rFonts w:ascii="Times New Roman" w:hAnsi="Times New Roman" w:cs="Times New Roman"/>
          <w:sz w:val="24"/>
          <w:szCs w:val="24"/>
        </w:rPr>
        <w:t xml:space="preserve">у </w:t>
      </w:r>
      <w:r w:rsidR="001A74A8">
        <w:rPr>
          <w:rFonts w:ascii="Times New Roman" w:hAnsi="Times New Roman" w:cs="Times New Roman"/>
          <w:sz w:val="24"/>
          <w:szCs w:val="24"/>
        </w:rPr>
        <w:t xml:space="preserve">предстојећем периоду велика </w:t>
      </w:r>
      <w:r w:rsidR="00D563B4">
        <w:rPr>
          <w:rFonts w:ascii="Times New Roman" w:hAnsi="Times New Roman" w:cs="Times New Roman"/>
          <w:sz w:val="24"/>
          <w:szCs w:val="24"/>
        </w:rPr>
        <w:t xml:space="preserve">пажња посвети </w:t>
      </w:r>
      <w:r w:rsidR="00355DAF">
        <w:rPr>
          <w:rFonts w:ascii="Times New Roman" w:hAnsi="Times New Roman" w:cs="Times New Roman"/>
          <w:sz w:val="24"/>
          <w:szCs w:val="24"/>
        </w:rPr>
        <w:t xml:space="preserve">правилној процени оправданости </w:t>
      </w:r>
      <w:r w:rsidR="00D563B4">
        <w:rPr>
          <w:rFonts w:ascii="Times New Roman" w:hAnsi="Times New Roman" w:cs="Times New Roman"/>
          <w:sz w:val="24"/>
          <w:szCs w:val="24"/>
        </w:rPr>
        <w:t>преговарачког поступка</w:t>
      </w:r>
      <w:r w:rsidR="00355DAF">
        <w:rPr>
          <w:rFonts w:ascii="Times New Roman" w:hAnsi="Times New Roman" w:cs="Times New Roman"/>
          <w:sz w:val="24"/>
          <w:szCs w:val="24"/>
        </w:rPr>
        <w:t xml:space="preserve"> и превенцији </w:t>
      </w:r>
      <w:r w:rsidR="001C4CC4">
        <w:rPr>
          <w:rFonts w:ascii="Times New Roman" w:hAnsi="Times New Roman" w:cs="Times New Roman"/>
          <w:sz w:val="24"/>
          <w:szCs w:val="24"/>
          <w:lang w:val="sr-Cyrl-RS"/>
        </w:rPr>
        <w:t xml:space="preserve">његове </w:t>
      </w:r>
      <w:r w:rsidR="00355DAF">
        <w:rPr>
          <w:rFonts w:ascii="Times New Roman" w:hAnsi="Times New Roman" w:cs="Times New Roman"/>
          <w:sz w:val="24"/>
          <w:szCs w:val="24"/>
        </w:rPr>
        <w:t>неоправдане примене</w:t>
      </w:r>
      <w:r w:rsidR="00D563B4">
        <w:rPr>
          <w:rFonts w:ascii="Times New Roman" w:hAnsi="Times New Roman" w:cs="Times New Roman"/>
          <w:sz w:val="24"/>
          <w:szCs w:val="24"/>
        </w:rPr>
        <w:t xml:space="preserve">, посебно код поменуте две категорије наручилаца.  </w:t>
      </w:r>
    </w:p>
    <w:p w:rsidR="00D56073" w:rsidRPr="00D56073" w:rsidRDefault="00D56073" w:rsidP="004E5018">
      <w:pPr>
        <w:rPr>
          <w:rFonts w:ascii="Times New Roman" w:hAnsi="Times New Roman" w:cs="Times New Roman"/>
          <w:sz w:val="24"/>
          <w:szCs w:val="24"/>
        </w:rPr>
        <w:sectPr w:rsidR="00D56073" w:rsidRPr="00D56073" w:rsidSect="00291C91">
          <w:pgSz w:w="12240" w:h="15840"/>
          <w:pgMar w:top="720" w:right="720" w:bottom="720" w:left="720" w:header="708" w:footer="708" w:gutter="0"/>
          <w:cols w:space="708"/>
          <w:docGrid w:linePitch="360"/>
        </w:sectPr>
      </w:pPr>
    </w:p>
    <w:p w:rsidR="00BF0CEA" w:rsidRDefault="003837F0" w:rsidP="004F3B0F">
      <w:pPr>
        <w:jc w:val="center"/>
        <w:rPr>
          <w:rFonts w:ascii="Times New Roman" w:hAnsi="Times New Roman" w:cs="Times New Roman"/>
          <w:sz w:val="24"/>
          <w:szCs w:val="24"/>
        </w:rPr>
      </w:pPr>
      <w:r w:rsidRPr="002D4AA4">
        <w:rPr>
          <w:rFonts w:ascii="Times New Roman" w:hAnsi="Times New Roman" w:cs="Times New Roman"/>
          <w:b/>
          <w:sz w:val="24"/>
          <w:szCs w:val="24"/>
        </w:rPr>
        <w:lastRenderedPageBreak/>
        <w:t xml:space="preserve">Слика </w:t>
      </w:r>
      <w:r w:rsidR="001A74A8" w:rsidRPr="002D4AA4">
        <w:rPr>
          <w:rFonts w:ascii="Times New Roman" w:hAnsi="Times New Roman" w:cs="Times New Roman"/>
          <w:b/>
          <w:sz w:val="24"/>
          <w:szCs w:val="24"/>
        </w:rPr>
        <w:t>5</w:t>
      </w:r>
      <w:r w:rsidR="00FC3DDD" w:rsidRPr="008C2A39">
        <w:rPr>
          <w:rFonts w:ascii="Times New Roman" w:hAnsi="Times New Roman" w:cs="Times New Roman"/>
          <w:b/>
          <w:sz w:val="24"/>
          <w:szCs w:val="24"/>
        </w:rPr>
        <w:br/>
      </w:r>
      <w:bookmarkStart w:id="4" w:name="_MON_1471066749"/>
      <w:bookmarkEnd w:id="4"/>
      <w:r w:rsidR="00B4616B" w:rsidRPr="004A1464">
        <w:rPr>
          <w:rFonts w:ascii="Times New Roman" w:hAnsi="Times New Roman" w:cs="Times New Roman"/>
          <w:sz w:val="24"/>
          <w:szCs w:val="24"/>
        </w:rPr>
        <w:object w:dxaOrig="7898" w:dyaOrig="5111">
          <v:shape id="_x0000_i1030" type="#_x0000_t75" style="width:394.65pt;height:255.4pt" o:ole="">
            <v:imagedata r:id="rId23" o:title=""/>
          </v:shape>
          <o:OLEObject Type="Embed" ProgID="Excel.Sheet.12" ShapeID="_x0000_i1030" DrawAspect="Content" ObjectID="_1471688939" r:id="rId24"/>
        </w:object>
      </w:r>
    </w:p>
    <w:p w:rsidR="00831576" w:rsidRDefault="00BF0CEA" w:rsidP="00A47EA4">
      <w:pPr>
        <w:jc w:val="both"/>
        <w:rPr>
          <w:rFonts w:ascii="Times New Roman" w:hAnsi="Times New Roman" w:cs="Times New Roman"/>
          <w:sz w:val="24"/>
          <w:szCs w:val="24"/>
        </w:rPr>
      </w:pPr>
      <w:r>
        <w:rPr>
          <w:rFonts w:ascii="Times New Roman" w:hAnsi="Times New Roman" w:cs="Times New Roman"/>
          <w:sz w:val="24"/>
          <w:szCs w:val="24"/>
        </w:rPr>
        <w:t xml:space="preserve">Као што се на Слици </w:t>
      </w:r>
      <w:r w:rsidR="001A74A8">
        <w:rPr>
          <w:rFonts w:ascii="Times New Roman" w:hAnsi="Times New Roman" w:cs="Times New Roman"/>
          <w:sz w:val="24"/>
          <w:szCs w:val="24"/>
        </w:rPr>
        <w:t>5</w:t>
      </w:r>
      <w:r>
        <w:rPr>
          <w:rFonts w:ascii="Times New Roman" w:hAnsi="Times New Roman" w:cs="Times New Roman"/>
          <w:sz w:val="24"/>
          <w:szCs w:val="24"/>
        </w:rPr>
        <w:t xml:space="preserve"> може видети, вредност преговарачког поступка без објављивања јавног позива </w:t>
      </w:r>
      <w:r w:rsidR="001D7527">
        <w:rPr>
          <w:rFonts w:ascii="Times New Roman" w:hAnsi="Times New Roman" w:cs="Times New Roman"/>
          <w:sz w:val="24"/>
          <w:szCs w:val="24"/>
        </w:rPr>
        <w:t>смањена је, у првом полугодишту 2014. године, за више од пет пута у односу на исти период 2013. године. П</w:t>
      </w:r>
      <w:r w:rsidR="00EF15C0">
        <w:rPr>
          <w:rFonts w:ascii="Times New Roman" w:hAnsi="Times New Roman" w:cs="Times New Roman"/>
          <w:sz w:val="24"/>
          <w:szCs w:val="24"/>
        </w:rPr>
        <w:t>роиз</w:t>
      </w:r>
      <w:r w:rsidR="00C62D8D">
        <w:rPr>
          <w:rFonts w:ascii="Times New Roman" w:hAnsi="Times New Roman" w:cs="Times New Roman"/>
          <w:sz w:val="24"/>
          <w:szCs w:val="24"/>
          <w:lang w:val="sr-Cyrl-RS"/>
        </w:rPr>
        <w:t>и</w:t>
      </w:r>
      <w:r w:rsidR="00EF15C0">
        <w:rPr>
          <w:rFonts w:ascii="Times New Roman" w:hAnsi="Times New Roman" w:cs="Times New Roman"/>
          <w:sz w:val="24"/>
          <w:szCs w:val="24"/>
        </w:rPr>
        <w:t xml:space="preserve">лази да </w:t>
      </w:r>
      <w:r w:rsidR="003624D9">
        <w:rPr>
          <w:rFonts w:ascii="Times New Roman" w:hAnsi="Times New Roman" w:cs="Times New Roman"/>
          <w:sz w:val="24"/>
          <w:szCs w:val="24"/>
        </w:rPr>
        <w:t xml:space="preserve">је </w:t>
      </w:r>
      <w:r w:rsidR="001D7527">
        <w:rPr>
          <w:rFonts w:ascii="Times New Roman" w:hAnsi="Times New Roman" w:cs="Times New Roman"/>
          <w:sz w:val="24"/>
          <w:szCs w:val="24"/>
        </w:rPr>
        <w:t xml:space="preserve">јасно опредељење Владе да </w:t>
      </w:r>
      <w:r w:rsidR="00866D6D">
        <w:rPr>
          <w:rFonts w:ascii="Times New Roman" w:hAnsi="Times New Roman" w:cs="Times New Roman"/>
          <w:sz w:val="24"/>
          <w:szCs w:val="24"/>
        </w:rPr>
        <w:t>се смање преговарачки поступци,</w:t>
      </w:r>
      <w:r w:rsidR="00866D6D">
        <w:rPr>
          <w:rFonts w:ascii="Times New Roman" w:hAnsi="Times New Roman" w:cs="Times New Roman"/>
          <w:sz w:val="24"/>
          <w:szCs w:val="24"/>
          <w:lang w:val="sr-Cyrl-RS"/>
        </w:rPr>
        <w:t xml:space="preserve"> </w:t>
      </w:r>
      <w:r w:rsidR="001D7527">
        <w:rPr>
          <w:rFonts w:ascii="Times New Roman" w:hAnsi="Times New Roman" w:cs="Times New Roman"/>
          <w:sz w:val="24"/>
          <w:szCs w:val="24"/>
        </w:rPr>
        <w:t xml:space="preserve">као и </w:t>
      </w:r>
      <w:r w:rsidR="00A47EA4">
        <w:rPr>
          <w:rFonts w:ascii="Times New Roman" w:hAnsi="Times New Roman" w:cs="Times New Roman"/>
          <w:sz w:val="24"/>
          <w:szCs w:val="24"/>
          <w:lang w:val="sr-Cyrl-RS"/>
        </w:rPr>
        <w:t xml:space="preserve">његово </w:t>
      </w:r>
      <w:r w:rsidR="001D7527">
        <w:rPr>
          <w:rFonts w:ascii="Times New Roman" w:hAnsi="Times New Roman" w:cs="Times New Roman"/>
          <w:sz w:val="24"/>
          <w:szCs w:val="24"/>
        </w:rPr>
        <w:t>доследно спровођење од стране Управе</w:t>
      </w:r>
      <w:r w:rsidR="00866D6D">
        <w:rPr>
          <w:rFonts w:ascii="Times New Roman" w:hAnsi="Times New Roman" w:cs="Times New Roman"/>
          <w:sz w:val="24"/>
          <w:szCs w:val="24"/>
          <w:lang w:val="sr-Cyrl-RS"/>
        </w:rPr>
        <w:t xml:space="preserve">, </w:t>
      </w:r>
      <w:r w:rsidR="001D7527">
        <w:rPr>
          <w:rFonts w:ascii="Times New Roman" w:hAnsi="Times New Roman" w:cs="Times New Roman"/>
          <w:sz w:val="24"/>
          <w:szCs w:val="24"/>
        </w:rPr>
        <w:t>да</w:t>
      </w:r>
      <w:r w:rsidR="006C7810">
        <w:rPr>
          <w:rFonts w:ascii="Times New Roman" w:hAnsi="Times New Roman" w:cs="Times New Roman"/>
          <w:sz w:val="24"/>
          <w:szCs w:val="24"/>
        </w:rPr>
        <w:t>л</w:t>
      </w:r>
      <w:r w:rsidR="003624D9">
        <w:rPr>
          <w:rFonts w:ascii="Times New Roman" w:hAnsi="Times New Roman" w:cs="Times New Roman"/>
          <w:sz w:val="24"/>
          <w:szCs w:val="24"/>
        </w:rPr>
        <w:t>о</w:t>
      </w:r>
      <w:r w:rsidR="006C7810">
        <w:rPr>
          <w:rFonts w:ascii="Times New Roman" w:hAnsi="Times New Roman" w:cs="Times New Roman"/>
          <w:sz w:val="24"/>
          <w:szCs w:val="24"/>
        </w:rPr>
        <w:t xml:space="preserve"> значајне резултате</w:t>
      </w:r>
      <w:r w:rsidR="003624D9">
        <w:rPr>
          <w:rFonts w:ascii="Times New Roman" w:hAnsi="Times New Roman" w:cs="Times New Roman"/>
          <w:sz w:val="24"/>
          <w:szCs w:val="24"/>
        </w:rPr>
        <w:t xml:space="preserve">. </w:t>
      </w:r>
    </w:p>
    <w:p w:rsidR="00291C91" w:rsidRDefault="00124460" w:rsidP="007B4B66">
      <w:pPr>
        <w:jc w:val="both"/>
        <w:rPr>
          <w:rFonts w:ascii="Times New Roman" w:hAnsi="Times New Roman" w:cs="Times New Roman"/>
          <w:sz w:val="24"/>
          <w:szCs w:val="24"/>
          <w:lang w:val="sr-Cyrl-RS"/>
        </w:rPr>
      </w:pPr>
      <w:r>
        <w:rPr>
          <w:rFonts w:ascii="Times New Roman" w:hAnsi="Times New Roman" w:cs="Times New Roman"/>
          <w:sz w:val="24"/>
          <w:szCs w:val="24"/>
          <w:lang w:val="sr-Cyrl-RS"/>
        </w:rPr>
        <w:t>У том смислу, о</w:t>
      </w:r>
      <w:r w:rsidR="00726F0B">
        <w:rPr>
          <w:rFonts w:ascii="Times New Roman" w:hAnsi="Times New Roman" w:cs="Times New Roman"/>
          <w:sz w:val="24"/>
          <w:szCs w:val="24"/>
        </w:rPr>
        <w:t xml:space="preserve">д </w:t>
      </w:r>
      <w:r>
        <w:rPr>
          <w:rFonts w:ascii="Times New Roman" w:hAnsi="Times New Roman" w:cs="Times New Roman"/>
          <w:sz w:val="24"/>
          <w:szCs w:val="24"/>
          <w:lang w:val="sr-Cyrl-RS"/>
        </w:rPr>
        <w:t xml:space="preserve">посебног </w:t>
      </w:r>
      <w:r w:rsidR="00726F0B">
        <w:rPr>
          <w:rFonts w:ascii="Times New Roman" w:hAnsi="Times New Roman" w:cs="Times New Roman"/>
          <w:sz w:val="24"/>
          <w:szCs w:val="24"/>
        </w:rPr>
        <w:t>зн</w:t>
      </w:r>
      <w:r w:rsidR="00696FC9">
        <w:rPr>
          <w:rFonts w:ascii="Times New Roman" w:hAnsi="Times New Roman" w:cs="Times New Roman"/>
          <w:sz w:val="24"/>
          <w:szCs w:val="24"/>
        </w:rPr>
        <w:t xml:space="preserve">ачаја је да се сагледа до каквих промена је дошло у примени три </w:t>
      </w:r>
      <w:r w:rsidR="00831576">
        <w:rPr>
          <w:rFonts w:ascii="Times New Roman" w:hAnsi="Times New Roman" w:cs="Times New Roman"/>
          <w:sz w:val="24"/>
          <w:szCs w:val="24"/>
        </w:rPr>
        <w:t xml:space="preserve">најзаступљенија </w:t>
      </w:r>
      <w:r w:rsidR="00696FC9">
        <w:rPr>
          <w:rFonts w:ascii="Times New Roman" w:hAnsi="Times New Roman" w:cs="Times New Roman"/>
          <w:sz w:val="24"/>
          <w:szCs w:val="24"/>
        </w:rPr>
        <w:t>основа за покретање преговарачког поступка</w:t>
      </w:r>
      <w:r w:rsidR="00831576">
        <w:rPr>
          <w:rFonts w:ascii="Times New Roman" w:hAnsi="Times New Roman" w:cs="Times New Roman"/>
          <w:sz w:val="24"/>
          <w:szCs w:val="24"/>
        </w:rPr>
        <w:t xml:space="preserve"> без објављивања јавног позива. </w:t>
      </w:r>
      <w:r w:rsidR="002A4357">
        <w:rPr>
          <w:rFonts w:ascii="Times New Roman" w:hAnsi="Times New Roman" w:cs="Times New Roman"/>
          <w:sz w:val="24"/>
          <w:szCs w:val="24"/>
        </w:rPr>
        <w:t>У првом полугодишту 2013. године најзаступљенији је био преговарачки поступак са само једним понуђачем који „због техничких или уметничких разлога“ једини може да задовољи дату потребу наручиоца и он је чинио близу половине укупне вредности преговарачког поступка без објављивања (43%).</w:t>
      </w:r>
      <w:r w:rsidR="00CD1D97">
        <w:rPr>
          <w:rFonts w:ascii="Times New Roman" w:hAnsi="Times New Roman" w:cs="Times New Roman"/>
          <w:sz w:val="24"/>
          <w:szCs w:val="24"/>
          <w:lang w:val="sr-Cyrl-RS"/>
        </w:rPr>
        <w:t xml:space="preserve"> </w:t>
      </w:r>
      <w:r w:rsidR="00E4123F">
        <w:rPr>
          <w:rFonts w:ascii="Times New Roman" w:hAnsi="Times New Roman" w:cs="Times New Roman"/>
          <w:color w:val="000000" w:themeColor="text1"/>
          <w:sz w:val="24"/>
          <w:szCs w:val="24"/>
        </w:rPr>
        <w:t>Вредност преговарачког поступка са „тачно одређеним понуђачем“ код којег је конкуренција највише ограничена смањена је пет пута у периоду од годину дана, са 11,6 мили</w:t>
      </w:r>
      <w:r w:rsidR="00CD1D97">
        <w:rPr>
          <w:rFonts w:ascii="Times New Roman" w:hAnsi="Times New Roman" w:cs="Times New Roman"/>
          <w:color w:val="000000" w:themeColor="text1"/>
          <w:sz w:val="24"/>
          <w:szCs w:val="24"/>
        </w:rPr>
        <w:t>јарди динара на 2,3 милијарде (</w:t>
      </w:r>
      <w:r w:rsidR="00CD1D97">
        <w:rPr>
          <w:rFonts w:ascii="Times New Roman" w:hAnsi="Times New Roman" w:cs="Times New Roman"/>
          <w:color w:val="000000" w:themeColor="text1"/>
          <w:sz w:val="24"/>
          <w:szCs w:val="24"/>
          <w:lang w:val="sr-Cyrl-RS"/>
        </w:rPr>
        <w:t>С</w:t>
      </w:r>
      <w:r w:rsidR="00E4123F">
        <w:rPr>
          <w:rFonts w:ascii="Times New Roman" w:hAnsi="Times New Roman" w:cs="Times New Roman"/>
          <w:color w:val="000000" w:themeColor="text1"/>
          <w:sz w:val="24"/>
          <w:szCs w:val="24"/>
        </w:rPr>
        <w:t xml:space="preserve">лика 6).  </w:t>
      </w:r>
    </w:p>
    <w:p w:rsidR="00124460" w:rsidRDefault="00124460" w:rsidP="007B4B66">
      <w:pPr>
        <w:jc w:val="both"/>
        <w:rPr>
          <w:rFonts w:ascii="Times New Roman" w:hAnsi="Times New Roman" w:cs="Times New Roman"/>
          <w:sz w:val="24"/>
          <w:szCs w:val="24"/>
          <w:lang w:val="sr-Cyrl-RS"/>
        </w:rPr>
      </w:pPr>
    </w:p>
    <w:p w:rsidR="00124460" w:rsidRDefault="00124460" w:rsidP="007B4B66">
      <w:pPr>
        <w:jc w:val="both"/>
        <w:rPr>
          <w:rFonts w:ascii="Times New Roman" w:hAnsi="Times New Roman" w:cs="Times New Roman"/>
          <w:sz w:val="24"/>
          <w:szCs w:val="24"/>
          <w:lang w:val="sr-Cyrl-RS"/>
        </w:rPr>
      </w:pPr>
    </w:p>
    <w:p w:rsidR="00124460" w:rsidRDefault="00124460" w:rsidP="007B4B66">
      <w:pPr>
        <w:jc w:val="both"/>
        <w:rPr>
          <w:rFonts w:ascii="Times New Roman" w:hAnsi="Times New Roman" w:cs="Times New Roman"/>
          <w:sz w:val="24"/>
          <w:szCs w:val="24"/>
          <w:lang w:val="sr-Cyrl-RS"/>
        </w:rPr>
      </w:pPr>
    </w:p>
    <w:p w:rsidR="00124460" w:rsidRDefault="00124460" w:rsidP="007B4B66">
      <w:pPr>
        <w:jc w:val="both"/>
        <w:rPr>
          <w:rFonts w:ascii="Times New Roman" w:hAnsi="Times New Roman" w:cs="Times New Roman"/>
          <w:sz w:val="24"/>
          <w:szCs w:val="24"/>
          <w:lang w:val="sr-Cyrl-RS"/>
        </w:rPr>
      </w:pPr>
    </w:p>
    <w:p w:rsidR="00124460" w:rsidRDefault="00124460" w:rsidP="007B4B66">
      <w:pPr>
        <w:jc w:val="both"/>
        <w:rPr>
          <w:rFonts w:ascii="Times New Roman" w:hAnsi="Times New Roman" w:cs="Times New Roman"/>
          <w:sz w:val="24"/>
          <w:szCs w:val="24"/>
          <w:lang w:val="sr-Cyrl-RS"/>
        </w:rPr>
      </w:pPr>
    </w:p>
    <w:p w:rsidR="00124460" w:rsidRDefault="00124460" w:rsidP="007B4B66">
      <w:pPr>
        <w:jc w:val="both"/>
        <w:rPr>
          <w:rFonts w:ascii="Times New Roman" w:hAnsi="Times New Roman" w:cs="Times New Roman"/>
          <w:sz w:val="24"/>
          <w:szCs w:val="24"/>
          <w:lang w:val="sr-Cyrl-RS"/>
        </w:rPr>
      </w:pPr>
    </w:p>
    <w:p w:rsidR="00124460" w:rsidRDefault="00124460" w:rsidP="007B4B66">
      <w:pPr>
        <w:jc w:val="both"/>
        <w:rPr>
          <w:rFonts w:ascii="Times New Roman" w:hAnsi="Times New Roman" w:cs="Times New Roman"/>
          <w:sz w:val="24"/>
          <w:szCs w:val="24"/>
          <w:lang w:val="sr-Cyrl-RS"/>
        </w:rPr>
      </w:pPr>
    </w:p>
    <w:p w:rsidR="00124460" w:rsidRPr="00124460" w:rsidRDefault="00124460" w:rsidP="007B4B66">
      <w:pPr>
        <w:jc w:val="both"/>
        <w:rPr>
          <w:rFonts w:ascii="Times New Roman" w:hAnsi="Times New Roman" w:cs="Times New Roman"/>
          <w:sz w:val="24"/>
          <w:szCs w:val="24"/>
          <w:lang w:val="sr-Cyrl-RS"/>
        </w:rPr>
      </w:pPr>
    </w:p>
    <w:p w:rsidR="00850AA5" w:rsidRPr="002D4AA4" w:rsidRDefault="001C39F2" w:rsidP="00063307">
      <w:pPr>
        <w:jc w:val="center"/>
        <w:rPr>
          <w:rFonts w:ascii="Times New Roman" w:hAnsi="Times New Roman" w:cs="Times New Roman"/>
          <w:b/>
          <w:sz w:val="24"/>
          <w:szCs w:val="24"/>
        </w:rPr>
      </w:pPr>
      <w:r w:rsidRPr="002D4AA4">
        <w:rPr>
          <w:rFonts w:ascii="Times New Roman" w:hAnsi="Times New Roman" w:cs="Times New Roman"/>
          <w:b/>
          <w:sz w:val="24"/>
          <w:szCs w:val="24"/>
        </w:rPr>
        <w:lastRenderedPageBreak/>
        <w:t xml:space="preserve">Слика </w:t>
      </w:r>
      <w:bookmarkStart w:id="5" w:name="_MON_1452182741"/>
      <w:bookmarkStart w:id="6" w:name="_MON_1452182645"/>
      <w:bookmarkEnd w:id="5"/>
      <w:bookmarkEnd w:id="6"/>
      <w:r w:rsidR="002A4357" w:rsidRPr="002D4AA4">
        <w:rPr>
          <w:rFonts w:ascii="Times New Roman" w:hAnsi="Times New Roman" w:cs="Times New Roman"/>
          <w:b/>
          <w:sz w:val="24"/>
          <w:szCs w:val="24"/>
        </w:rPr>
        <w:t>6</w:t>
      </w:r>
    </w:p>
    <w:bookmarkStart w:id="7" w:name="_MON_1471066785"/>
    <w:bookmarkEnd w:id="7"/>
    <w:p w:rsidR="002A4357" w:rsidRPr="00124460" w:rsidRDefault="006F3203" w:rsidP="00124460">
      <w:pPr>
        <w:jc w:val="center"/>
        <w:rPr>
          <w:rFonts w:ascii="Times New Roman" w:hAnsi="Times New Roman" w:cs="Times New Roman"/>
          <w:sz w:val="24"/>
          <w:szCs w:val="24"/>
          <w:lang w:val="sr-Cyrl-RS"/>
        </w:rPr>
      </w:pPr>
      <w:r w:rsidRPr="004A1464">
        <w:rPr>
          <w:rFonts w:ascii="Times New Roman" w:hAnsi="Times New Roman" w:cs="Times New Roman"/>
          <w:sz w:val="24"/>
          <w:szCs w:val="24"/>
        </w:rPr>
        <w:object w:dxaOrig="8676" w:dyaOrig="5411">
          <v:shape id="_x0000_i1031" type="#_x0000_t75" style="width:433.35pt;height:270.35pt" o:ole="">
            <v:imagedata r:id="rId25" o:title=""/>
          </v:shape>
          <o:OLEObject Type="Embed" ProgID="Excel.Sheet.12" ShapeID="_x0000_i1031" DrawAspect="Content" ObjectID="_1471688940" r:id="rId26"/>
        </w:object>
      </w:r>
    </w:p>
    <w:p w:rsidR="00493943" w:rsidRDefault="001E5F24" w:rsidP="00DC2501">
      <w:pPr>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Други основ по заступљености бил</w:t>
      </w:r>
      <w:r w:rsidR="00493943">
        <w:rPr>
          <w:rFonts w:ascii="Times New Roman" w:hAnsi="Times New Roman" w:cs="Times New Roman"/>
          <w:color w:val="000000" w:themeColor="text1"/>
          <w:sz w:val="24"/>
          <w:szCs w:val="24"/>
        </w:rPr>
        <w:t xml:space="preserve">е </w:t>
      </w:r>
      <w:r w:rsidR="00493943">
        <w:rPr>
          <w:rFonts w:ascii="Times New Roman" w:hAnsi="Times New Roman" w:cs="Times New Roman"/>
          <w:sz w:val="24"/>
          <w:szCs w:val="24"/>
        </w:rPr>
        <w:t xml:space="preserve">су „ванредне и непредвиђене околности“ (тзв.„хитност“) где се, </w:t>
      </w:r>
      <w:r>
        <w:rPr>
          <w:rFonts w:ascii="Times New Roman" w:hAnsi="Times New Roman" w:cs="Times New Roman"/>
          <w:color w:val="000000" w:themeColor="text1"/>
          <w:sz w:val="24"/>
          <w:szCs w:val="24"/>
        </w:rPr>
        <w:t xml:space="preserve"> због битно скраћених рокова за подношење понуда</w:t>
      </w:r>
      <w:r w:rsidR="00493943">
        <w:rPr>
          <w:rFonts w:ascii="Times New Roman" w:hAnsi="Times New Roman" w:cs="Times New Roman"/>
          <w:color w:val="000000" w:themeColor="text1"/>
          <w:sz w:val="24"/>
          <w:szCs w:val="24"/>
        </w:rPr>
        <w:t xml:space="preserve">, јавља </w:t>
      </w:r>
      <w:r>
        <w:rPr>
          <w:rFonts w:ascii="Times New Roman" w:hAnsi="Times New Roman" w:cs="Times New Roman"/>
          <w:color w:val="000000" w:themeColor="text1"/>
          <w:sz w:val="24"/>
          <w:szCs w:val="24"/>
        </w:rPr>
        <w:t xml:space="preserve">значајан ризик ограничавања конкуренције. Учешће овог поступка смањено је </w:t>
      </w:r>
      <w:r w:rsidR="00AA5994">
        <w:rPr>
          <w:rFonts w:ascii="Times New Roman" w:hAnsi="Times New Roman" w:cs="Times New Roman"/>
          <w:color w:val="000000" w:themeColor="text1"/>
          <w:sz w:val="24"/>
          <w:szCs w:val="24"/>
        </w:rPr>
        <w:t xml:space="preserve">скоро 5 пута у првом полугодишту 2014. године у поређењу са истим периодом 2013. године. </w:t>
      </w:r>
    </w:p>
    <w:p w:rsidR="001E5F24" w:rsidRDefault="00AA5994" w:rsidP="00DC2501">
      <w:pPr>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Ова два основа („преговарање са тачно одређеним понуђачем“ и „хитност“) чинила су 4/5 укупне вредности преговарачких поступака без објављивања јавног позива.  Највећи број обраћања Управи и њених мишљења везаних за преговарачке поступке односила су се управо на поменута два основа. </w:t>
      </w:r>
      <w:r w:rsidR="00493943">
        <w:rPr>
          <w:rFonts w:ascii="Times New Roman" w:hAnsi="Times New Roman" w:cs="Times New Roman"/>
          <w:color w:val="000000" w:themeColor="text1"/>
          <w:sz w:val="24"/>
          <w:szCs w:val="24"/>
        </w:rPr>
        <w:t xml:space="preserve">Од посебног је значаја што је Управа </w:t>
      </w:r>
      <w:r w:rsidR="007E7BA6">
        <w:rPr>
          <w:rFonts w:ascii="Times New Roman" w:hAnsi="Times New Roman" w:cs="Times New Roman"/>
          <w:color w:val="000000" w:themeColor="text1"/>
          <w:sz w:val="24"/>
          <w:szCs w:val="24"/>
          <w:lang w:val="sr-Cyrl-RS"/>
        </w:rPr>
        <w:t xml:space="preserve">могла </w:t>
      </w:r>
      <w:r w:rsidR="00493943">
        <w:rPr>
          <w:rFonts w:ascii="Times New Roman" w:hAnsi="Times New Roman" w:cs="Times New Roman"/>
          <w:color w:val="000000" w:themeColor="text1"/>
          <w:sz w:val="24"/>
          <w:szCs w:val="24"/>
        </w:rPr>
        <w:t xml:space="preserve">да, давањем мишљења </w:t>
      </w:r>
      <w:r w:rsidR="00493943" w:rsidRPr="00DC2501">
        <w:rPr>
          <w:rFonts w:ascii="Times New Roman" w:hAnsi="Times New Roman" w:cs="Times New Roman"/>
          <w:color w:val="000000" w:themeColor="text1"/>
          <w:sz w:val="24"/>
          <w:szCs w:val="24"/>
        </w:rPr>
        <w:t xml:space="preserve">пре </w:t>
      </w:r>
      <w:r w:rsidR="00493943">
        <w:rPr>
          <w:rFonts w:ascii="Times New Roman" w:hAnsi="Times New Roman" w:cs="Times New Roman"/>
          <w:color w:val="000000" w:themeColor="text1"/>
          <w:sz w:val="24"/>
          <w:szCs w:val="24"/>
        </w:rPr>
        <w:t xml:space="preserve">покретања поступка, делује превентивно  </w:t>
      </w:r>
      <w:r w:rsidR="00493943" w:rsidRPr="00374908">
        <w:rPr>
          <w:rFonts w:ascii="Times New Roman" w:hAnsi="Times New Roman" w:cs="Times New Roman"/>
          <w:i/>
          <w:sz w:val="24"/>
          <w:szCs w:val="24"/>
        </w:rPr>
        <w:t>(„ex ante”</w:t>
      </w:r>
      <w:r w:rsidR="00493943">
        <w:rPr>
          <w:rFonts w:ascii="Times New Roman" w:hAnsi="Times New Roman" w:cs="Times New Roman"/>
          <w:sz w:val="24"/>
          <w:szCs w:val="24"/>
        </w:rPr>
        <w:t>)  и да спречи покретање неоснованих поступака</w:t>
      </w:r>
      <w:r w:rsidR="00163151">
        <w:rPr>
          <w:rFonts w:ascii="Times New Roman" w:hAnsi="Times New Roman" w:cs="Times New Roman"/>
          <w:sz w:val="24"/>
          <w:szCs w:val="24"/>
        </w:rPr>
        <w:t xml:space="preserve"> и тиме преокрене негативну тенденцију присутну у систему јавних набавки више од једне деценије. </w:t>
      </w:r>
    </w:p>
    <w:p w:rsidR="00423371" w:rsidRPr="00622F21" w:rsidRDefault="00423371" w:rsidP="00622F21">
      <w:pPr>
        <w:pStyle w:val="ListParagraph"/>
        <w:numPr>
          <w:ilvl w:val="0"/>
          <w:numId w:val="2"/>
        </w:numPr>
        <w:jc w:val="both"/>
        <w:rPr>
          <w:rFonts w:ascii="Times New Roman" w:hAnsi="Times New Roman" w:cs="Times New Roman"/>
          <w:b/>
          <w:sz w:val="24"/>
          <w:szCs w:val="24"/>
        </w:rPr>
      </w:pPr>
      <w:r w:rsidRPr="00622F21">
        <w:rPr>
          <w:rFonts w:ascii="Times New Roman" w:hAnsi="Times New Roman" w:cs="Times New Roman"/>
          <w:b/>
          <w:sz w:val="24"/>
          <w:szCs w:val="24"/>
        </w:rPr>
        <w:t>КОНКУРЕН</w:t>
      </w:r>
      <w:r w:rsidR="00607EFC" w:rsidRPr="00622F21">
        <w:rPr>
          <w:rFonts w:ascii="Times New Roman" w:hAnsi="Times New Roman" w:cs="Times New Roman"/>
          <w:b/>
          <w:sz w:val="24"/>
          <w:szCs w:val="24"/>
        </w:rPr>
        <w:t>ЦИЈА</w:t>
      </w:r>
    </w:p>
    <w:p w:rsidR="00172360" w:rsidRDefault="002B428A" w:rsidP="007B4B66">
      <w:pPr>
        <w:jc w:val="both"/>
        <w:rPr>
          <w:rFonts w:ascii="Times New Roman" w:hAnsi="Times New Roman" w:cs="Times New Roman"/>
          <w:sz w:val="24"/>
          <w:szCs w:val="24"/>
        </w:rPr>
      </w:pPr>
      <w:r>
        <w:rPr>
          <w:rFonts w:ascii="Times New Roman" w:hAnsi="Times New Roman" w:cs="Times New Roman"/>
          <w:sz w:val="24"/>
          <w:szCs w:val="24"/>
        </w:rPr>
        <w:t xml:space="preserve">Слободно деловање конкуренције је једно од најважнијих обележја </w:t>
      </w:r>
      <w:r w:rsidR="00607EFC">
        <w:rPr>
          <w:rFonts w:ascii="Times New Roman" w:hAnsi="Times New Roman" w:cs="Times New Roman"/>
          <w:sz w:val="24"/>
          <w:szCs w:val="24"/>
        </w:rPr>
        <w:t>развијено</w:t>
      </w:r>
      <w:r>
        <w:rPr>
          <w:rFonts w:ascii="Times New Roman" w:hAnsi="Times New Roman" w:cs="Times New Roman"/>
          <w:sz w:val="24"/>
          <w:szCs w:val="24"/>
        </w:rPr>
        <w:t xml:space="preserve">г и ефикасног </w:t>
      </w:r>
      <w:r w:rsidR="00607EFC">
        <w:rPr>
          <w:rFonts w:ascii="Times New Roman" w:hAnsi="Times New Roman" w:cs="Times New Roman"/>
          <w:sz w:val="24"/>
          <w:szCs w:val="24"/>
        </w:rPr>
        <w:t xml:space="preserve">система јавних набавки. </w:t>
      </w:r>
      <w:r>
        <w:rPr>
          <w:rFonts w:ascii="Times New Roman" w:hAnsi="Times New Roman" w:cs="Times New Roman"/>
          <w:sz w:val="24"/>
          <w:szCs w:val="24"/>
        </w:rPr>
        <w:t>Разлог је што слободна конкуренција међу понуђачима омогућава купцу, у овом случају држави</w:t>
      </w:r>
      <w:r w:rsidR="00C162DC">
        <w:rPr>
          <w:rFonts w:ascii="Times New Roman" w:hAnsi="Times New Roman" w:cs="Times New Roman"/>
          <w:sz w:val="24"/>
          <w:szCs w:val="24"/>
        </w:rPr>
        <w:t>,</w:t>
      </w:r>
      <w:r>
        <w:rPr>
          <w:rFonts w:ascii="Times New Roman" w:hAnsi="Times New Roman" w:cs="Times New Roman"/>
          <w:sz w:val="24"/>
          <w:szCs w:val="24"/>
        </w:rPr>
        <w:t xml:space="preserve"> најповољније услове набавке. Стога су к</w:t>
      </w:r>
      <w:r w:rsidR="00607EFC">
        <w:rPr>
          <w:rFonts w:ascii="Times New Roman" w:hAnsi="Times New Roman" w:cs="Times New Roman"/>
          <w:sz w:val="24"/>
          <w:szCs w:val="24"/>
        </w:rPr>
        <w:t>ључна начела јавних набавки, попут трансп</w:t>
      </w:r>
      <w:r w:rsidR="006A7E33">
        <w:rPr>
          <w:rFonts w:ascii="Times New Roman" w:hAnsi="Times New Roman" w:cs="Times New Roman"/>
          <w:sz w:val="24"/>
          <w:szCs w:val="24"/>
        </w:rPr>
        <w:t>а</w:t>
      </w:r>
      <w:r w:rsidR="00607EFC">
        <w:rPr>
          <w:rFonts w:ascii="Times New Roman" w:hAnsi="Times New Roman" w:cs="Times New Roman"/>
          <w:sz w:val="24"/>
          <w:szCs w:val="24"/>
        </w:rPr>
        <w:t>рентности и недискриминације, односно обезбеђивања једнаких услова за све учеснике у по</w:t>
      </w:r>
      <w:r>
        <w:rPr>
          <w:rFonts w:ascii="Times New Roman" w:hAnsi="Times New Roman" w:cs="Times New Roman"/>
          <w:sz w:val="24"/>
          <w:szCs w:val="24"/>
        </w:rPr>
        <w:t>с</w:t>
      </w:r>
      <w:r w:rsidR="00607EFC">
        <w:rPr>
          <w:rFonts w:ascii="Times New Roman" w:hAnsi="Times New Roman" w:cs="Times New Roman"/>
          <w:sz w:val="24"/>
          <w:szCs w:val="24"/>
        </w:rPr>
        <w:t xml:space="preserve">тупку </w:t>
      </w:r>
      <w:r w:rsidR="003F24BD">
        <w:rPr>
          <w:rFonts w:ascii="Times New Roman" w:hAnsi="Times New Roman" w:cs="Times New Roman"/>
          <w:sz w:val="24"/>
          <w:szCs w:val="24"/>
        </w:rPr>
        <w:t>заправо</w:t>
      </w:r>
      <w:r>
        <w:rPr>
          <w:rFonts w:ascii="Times New Roman" w:hAnsi="Times New Roman" w:cs="Times New Roman"/>
          <w:sz w:val="24"/>
          <w:szCs w:val="24"/>
        </w:rPr>
        <w:t xml:space="preserve"> у функцији остваривања једног ширег циља, а то је </w:t>
      </w:r>
      <w:r w:rsidR="00607EFC">
        <w:rPr>
          <w:rFonts w:ascii="Times New Roman" w:hAnsi="Times New Roman" w:cs="Times New Roman"/>
          <w:sz w:val="24"/>
          <w:szCs w:val="24"/>
        </w:rPr>
        <w:t>обезбе</w:t>
      </w:r>
      <w:r>
        <w:rPr>
          <w:rFonts w:ascii="Times New Roman" w:hAnsi="Times New Roman" w:cs="Times New Roman"/>
          <w:sz w:val="24"/>
          <w:szCs w:val="24"/>
        </w:rPr>
        <w:t>ђивање</w:t>
      </w:r>
      <w:r w:rsidR="00607EFC">
        <w:rPr>
          <w:rFonts w:ascii="Times New Roman" w:hAnsi="Times New Roman" w:cs="Times New Roman"/>
          <w:sz w:val="24"/>
          <w:szCs w:val="24"/>
        </w:rPr>
        <w:t xml:space="preserve"> пун</w:t>
      </w:r>
      <w:r>
        <w:rPr>
          <w:rFonts w:ascii="Times New Roman" w:hAnsi="Times New Roman" w:cs="Times New Roman"/>
          <w:sz w:val="24"/>
          <w:szCs w:val="24"/>
        </w:rPr>
        <w:t>е конкуренције</w:t>
      </w:r>
      <w:r w:rsidR="00607EFC">
        <w:rPr>
          <w:rFonts w:ascii="Times New Roman" w:hAnsi="Times New Roman" w:cs="Times New Roman"/>
          <w:sz w:val="24"/>
          <w:szCs w:val="24"/>
        </w:rPr>
        <w:t xml:space="preserve"> у поступцима јавних </w:t>
      </w:r>
      <w:r w:rsidR="00740B7E">
        <w:rPr>
          <w:rFonts w:ascii="Times New Roman" w:hAnsi="Times New Roman" w:cs="Times New Roman"/>
          <w:sz w:val="24"/>
          <w:szCs w:val="24"/>
        </w:rPr>
        <w:t xml:space="preserve">набавки. </w:t>
      </w:r>
      <w:r>
        <w:rPr>
          <w:rFonts w:ascii="Times New Roman" w:hAnsi="Times New Roman" w:cs="Times New Roman"/>
          <w:sz w:val="24"/>
          <w:szCs w:val="24"/>
        </w:rPr>
        <w:t xml:space="preserve">Зато се успешност </w:t>
      </w:r>
      <w:r w:rsidR="00FF2D0F">
        <w:rPr>
          <w:rFonts w:ascii="Times New Roman" w:hAnsi="Times New Roman" w:cs="Times New Roman"/>
          <w:sz w:val="24"/>
          <w:szCs w:val="24"/>
        </w:rPr>
        <w:t xml:space="preserve">(ефекти) </w:t>
      </w:r>
      <w:r>
        <w:rPr>
          <w:rFonts w:ascii="Times New Roman" w:hAnsi="Times New Roman" w:cs="Times New Roman"/>
          <w:sz w:val="24"/>
          <w:szCs w:val="24"/>
        </w:rPr>
        <w:t xml:space="preserve">примене транспарентности и обезбеђивања једнаких услова у поступцима јавних набавки </w:t>
      </w:r>
      <w:r w:rsidR="00FF2D0F">
        <w:rPr>
          <w:rFonts w:ascii="Times New Roman" w:hAnsi="Times New Roman" w:cs="Times New Roman"/>
          <w:sz w:val="24"/>
          <w:szCs w:val="24"/>
        </w:rPr>
        <w:t xml:space="preserve">у пракси </w:t>
      </w:r>
      <w:r>
        <w:rPr>
          <w:rFonts w:ascii="Times New Roman" w:hAnsi="Times New Roman" w:cs="Times New Roman"/>
          <w:sz w:val="24"/>
          <w:szCs w:val="24"/>
        </w:rPr>
        <w:t xml:space="preserve">могу оцењивати и пратити преко интензитета конкуренције међу понуђачима. </w:t>
      </w:r>
      <w:r w:rsidR="006D79F5">
        <w:rPr>
          <w:rFonts w:ascii="Times New Roman" w:hAnsi="Times New Roman" w:cs="Times New Roman"/>
          <w:sz w:val="24"/>
          <w:szCs w:val="24"/>
        </w:rPr>
        <w:t>Другим речима, ако су транспарентност и једн</w:t>
      </w:r>
      <w:r w:rsidR="006463F1">
        <w:rPr>
          <w:rFonts w:ascii="Times New Roman" w:hAnsi="Times New Roman" w:cs="Times New Roman"/>
          <w:sz w:val="24"/>
          <w:szCs w:val="24"/>
        </w:rPr>
        <w:t>а</w:t>
      </w:r>
      <w:r w:rsidR="006D79F5">
        <w:rPr>
          <w:rFonts w:ascii="Times New Roman" w:hAnsi="Times New Roman" w:cs="Times New Roman"/>
          <w:sz w:val="24"/>
          <w:szCs w:val="24"/>
        </w:rPr>
        <w:t>к третман понуђача обезбеђени у пракси, конкуренција ће бити интензивн</w:t>
      </w:r>
      <w:r w:rsidR="0037097C">
        <w:rPr>
          <w:rFonts w:ascii="Times New Roman" w:hAnsi="Times New Roman" w:cs="Times New Roman"/>
          <w:sz w:val="24"/>
          <w:szCs w:val="24"/>
          <w:lang w:val="sr-Cyrl-RS"/>
        </w:rPr>
        <w:t>иј</w:t>
      </w:r>
      <w:r w:rsidR="006D79F5">
        <w:rPr>
          <w:rFonts w:ascii="Times New Roman" w:hAnsi="Times New Roman" w:cs="Times New Roman"/>
          <w:sz w:val="24"/>
          <w:szCs w:val="24"/>
        </w:rPr>
        <w:t>а. И обрнуто, ако су начела присутна само у З</w:t>
      </w:r>
      <w:r w:rsidR="00955A24">
        <w:rPr>
          <w:rFonts w:ascii="Times New Roman" w:hAnsi="Times New Roman" w:cs="Times New Roman"/>
          <w:sz w:val="24"/>
          <w:szCs w:val="24"/>
          <w:lang w:val="sr-Cyrl-RS"/>
        </w:rPr>
        <w:t>акону</w:t>
      </w:r>
      <w:r w:rsidR="006D79F5">
        <w:rPr>
          <w:rFonts w:ascii="Times New Roman" w:hAnsi="Times New Roman" w:cs="Times New Roman"/>
          <w:sz w:val="24"/>
          <w:szCs w:val="24"/>
        </w:rPr>
        <w:t>, а постоје слабости у њиховој примени, понуђачи ће одустајати од учешћа у поступцима јавних набавки.</w:t>
      </w:r>
      <w:r w:rsidR="006463F1">
        <w:rPr>
          <w:rFonts w:ascii="Times New Roman" w:hAnsi="Times New Roman" w:cs="Times New Roman"/>
          <w:sz w:val="24"/>
          <w:szCs w:val="24"/>
        </w:rPr>
        <w:t xml:space="preserve"> Разлог је што њихова одлука о учешћу у поступку јавне набавке зависи пре свега од процене да ли је поступак </w:t>
      </w:r>
      <w:r w:rsidR="00172360">
        <w:rPr>
          <w:rFonts w:ascii="Times New Roman" w:hAnsi="Times New Roman" w:cs="Times New Roman"/>
          <w:sz w:val="24"/>
          <w:szCs w:val="24"/>
        </w:rPr>
        <w:lastRenderedPageBreak/>
        <w:t>„</w:t>
      </w:r>
      <w:r w:rsidR="006463F1">
        <w:rPr>
          <w:rFonts w:ascii="Times New Roman" w:hAnsi="Times New Roman" w:cs="Times New Roman"/>
          <w:sz w:val="24"/>
          <w:szCs w:val="24"/>
        </w:rPr>
        <w:t>намештен</w:t>
      </w:r>
      <w:r w:rsidR="00172360">
        <w:rPr>
          <w:rFonts w:ascii="Times New Roman" w:hAnsi="Times New Roman" w:cs="Times New Roman"/>
          <w:sz w:val="24"/>
          <w:szCs w:val="24"/>
        </w:rPr>
        <w:t>“</w:t>
      </w:r>
      <w:r w:rsidR="006463F1">
        <w:rPr>
          <w:rFonts w:ascii="Times New Roman" w:hAnsi="Times New Roman" w:cs="Times New Roman"/>
          <w:sz w:val="24"/>
          <w:szCs w:val="24"/>
        </w:rPr>
        <w:t xml:space="preserve"> или не за одређеног понуђача. </w:t>
      </w:r>
      <w:r w:rsidR="00172360">
        <w:rPr>
          <w:rFonts w:ascii="Times New Roman" w:hAnsi="Times New Roman" w:cs="Times New Roman"/>
          <w:sz w:val="24"/>
          <w:szCs w:val="24"/>
        </w:rPr>
        <w:t>Уколико процене да јесте или да њихова права у поступку не могу бити ефикасно заштићена, понуђачи неће уопште ни учествовати у поступку. Самим тим ће и број поднетих понуда бити нижи.</w:t>
      </w:r>
    </w:p>
    <w:p w:rsidR="00B52C7D" w:rsidRPr="00D90F54" w:rsidRDefault="00172360" w:rsidP="00740B7E">
      <w:pPr>
        <w:jc w:val="both"/>
        <w:rPr>
          <w:rFonts w:ascii="Times New Roman" w:hAnsi="Times New Roman" w:cs="Times New Roman"/>
          <w:sz w:val="24"/>
          <w:szCs w:val="24"/>
        </w:rPr>
      </w:pPr>
      <w:r>
        <w:rPr>
          <w:rFonts w:ascii="Times New Roman" w:hAnsi="Times New Roman" w:cs="Times New Roman"/>
          <w:sz w:val="24"/>
          <w:szCs w:val="24"/>
        </w:rPr>
        <w:t>Просечан број понуда по закљученом уговору, као с</w:t>
      </w:r>
      <w:r w:rsidR="00607EFC">
        <w:rPr>
          <w:rFonts w:ascii="Times New Roman" w:hAnsi="Times New Roman" w:cs="Times New Roman"/>
          <w:sz w:val="24"/>
          <w:szCs w:val="24"/>
        </w:rPr>
        <w:t>тандардан показатељ интензитета конкуренције у јавним набавкама</w:t>
      </w:r>
      <w:r>
        <w:rPr>
          <w:rFonts w:ascii="Times New Roman" w:hAnsi="Times New Roman" w:cs="Times New Roman"/>
          <w:sz w:val="24"/>
          <w:szCs w:val="24"/>
        </w:rPr>
        <w:t>,</w:t>
      </w:r>
      <w:r w:rsidR="00B37E62">
        <w:rPr>
          <w:rFonts w:ascii="Times New Roman" w:hAnsi="Times New Roman" w:cs="Times New Roman"/>
          <w:sz w:val="24"/>
          <w:szCs w:val="24"/>
          <w:lang w:val="sr-Cyrl-RS"/>
        </w:rPr>
        <w:t xml:space="preserve"> </w:t>
      </w:r>
      <w:r>
        <w:rPr>
          <w:rFonts w:ascii="Times New Roman" w:hAnsi="Times New Roman" w:cs="Times New Roman"/>
          <w:sz w:val="24"/>
          <w:szCs w:val="24"/>
        </w:rPr>
        <w:t xml:space="preserve">приказан је у </w:t>
      </w:r>
      <w:r w:rsidR="00FF2D0F" w:rsidRPr="00A93681">
        <w:rPr>
          <w:rFonts w:ascii="Times New Roman" w:hAnsi="Times New Roman" w:cs="Times New Roman"/>
          <w:sz w:val="24"/>
          <w:szCs w:val="24"/>
        </w:rPr>
        <w:t>Табел</w:t>
      </w:r>
      <w:r w:rsidRPr="00A93681">
        <w:rPr>
          <w:rFonts w:ascii="Times New Roman" w:hAnsi="Times New Roman" w:cs="Times New Roman"/>
          <w:sz w:val="24"/>
          <w:szCs w:val="24"/>
        </w:rPr>
        <w:t>и</w:t>
      </w:r>
      <w:r w:rsidR="00A93681">
        <w:rPr>
          <w:rFonts w:ascii="Times New Roman" w:hAnsi="Times New Roman" w:cs="Times New Roman"/>
          <w:sz w:val="24"/>
          <w:szCs w:val="24"/>
          <w:lang w:val="sr-Cyrl-RS"/>
        </w:rPr>
        <w:t xml:space="preserve"> </w:t>
      </w:r>
      <w:r w:rsidR="00C81993" w:rsidRPr="00A93681">
        <w:rPr>
          <w:rFonts w:ascii="Times New Roman" w:hAnsi="Times New Roman" w:cs="Times New Roman"/>
          <w:sz w:val="24"/>
          <w:szCs w:val="24"/>
        </w:rPr>
        <w:t>5</w:t>
      </w:r>
      <w:r w:rsidR="00607EFC">
        <w:rPr>
          <w:rFonts w:ascii="Times New Roman" w:hAnsi="Times New Roman" w:cs="Times New Roman"/>
          <w:sz w:val="24"/>
          <w:szCs w:val="24"/>
        </w:rPr>
        <w:t xml:space="preserve">. </w:t>
      </w:r>
    </w:p>
    <w:p w:rsidR="00B52C7D" w:rsidRPr="002D4AA4" w:rsidRDefault="009B4DA4" w:rsidP="00482BC8">
      <w:pPr>
        <w:rPr>
          <w:rFonts w:ascii="Times New Roman" w:hAnsi="Times New Roman" w:cs="Times New Roman"/>
          <w:b/>
          <w:sz w:val="24"/>
          <w:szCs w:val="24"/>
        </w:rPr>
      </w:pPr>
      <w:r>
        <w:rPr>
          <w:rFonts w:ascii="Times New Roman" w:hAnsi="Times New Roman" w:cs="Times New Roman"/>
          <w:b/>
          <w:color w:val="FF0000"/>
          <w:sz w:val="24"/>
          <w:szCs w:val="24"/>
          <w:lang w:val="sr-Cyrl-RS"/>
        </w:rPr>
        <w:t xml:space="preserve">          </w:t>
      </w:r>
      <w:r w:rsidR="000512E4" w:rsidRPr="002D4AA4">
        <w:rPr>
          <w:rFonts w:ascii="Times New Roman" w:hAnsi="Times New Roman" w:cs="Times New Roman"/>
          <w:b/>
          <w:sz w:val="24"/>
          <w:szCs w:val="24"/>
        </w:rPr>
        <w:t>Табела 5</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65"/>
        <w:gridCol w:w="3118"/>
        <w:gridCol w:w="2897"/>
      </w:tblGrid>
      <w:tr w:rsidR="000725E8" w:rsidRPr="000725E8" w:rsidTr="0037097C">
        <w:trPr>
          <w:trHeight w:val="713"/>
          <w:jc w:val="center"/>
        </w:trPr>
        <w:tc>
          <w:tcPr>
            <w:tcW w:w="9480" w:type="dxa"/>
            <w:gridSpan w:val="3"/>
            <w:vAlign w:val="center"/>
          </w:tcPr>
          <w:p w:rsidR="000725E8" w:rsidRPr="000725E8" w:rsidRDefault="000725E8" w:rsidP="0037097C">
            <w:pPr>
              <w:tabs>
                <w:tab w:val="left" w:pos="1885"/>
              </w:tabs>
              <w:spacing w:after="0" w:line="240" w:lineRule="auto"/>
              <w:jc w:val="center"/>
              <w:rPr>
                <w:rFonts w:ascii="Times New Roman" w:eastAsia="Times New Roman" w:hAnsi="Times New Roman" w:cs="Times New Roman"/>
                <w:b/>
                <w:sz w:val="24"/>
                <w:szCs w:val="24"/>
              </w:rPr>
            </w:pPr>
            <w:r w:rsidRPr="000725E8">
              <w:rPr>
                <w:rFonts w:ascii="Times New Roman" w:eastAsia="Times New Roman" w:hAnsi="Times New Roman" w:cs="Times New Roman"/>
                <w:b/>
                <w:sz w:val="24"/>
                <w:szCs w:val="24"/>
              </w:rPr>
              <w:t>Просечан број понуда по закљученом уговору</w:t>
            </w:r>
          </w:p>
          <w:p w:rsidR="000725E8" w:rsidRPr="000725E8" w:rsidRDefault="000725E8" w:rsidP="0037097C">
            <w:pPr>
              <w:jc w:val="center"/>
            </w:pPr>
            <w:r w:rsidRPr="000725E8">
              <w:rPr>
                <w:rFonts w:ascii="Times New Roman" w:eastAsia="Times New Roman" w:hAnsi="Times New Roman" w:cs="Times New Roman"/>
                <w:b/>
                <w:sz w:val="24"/>
                <w:szCs w:val="24"/>
              </w:rPr>
              <w:t>у поступцима јавних набавки</w:t>
            </w:r>
          </w:p>
        </w:tc>
      </w:tr>
      <w:tr w:rsidR="000725E8" w:rsidRPr="000725E8" w:rsidTr="00A8404D">
        <w:tblPrEx>
          <w:tblLook w:val="04A0" w:firstRow="1" w:lastRow="0" w:firstColumn="1" w:lastColumn="0" w:noHBand="0" w:noVBand="1"/>
        </w:tblPrEx>
        <w:trPr>
          <w:trHeight w:val="425"/>
          <w:jc w:val="center"/>
        </w:trPr>
        <w:tc>
          <w:tcPr>
            <w:tcW w:w="3465" w:type="dxa"/>
            <w:shd w:val="clear" w:color="auto" w:fill="auto"/>
            <w:vAlign w:val="center"/>
          </w:tcPr>
          <w:p w:rsidR="000725E8" w:rsidRPr="000725E8" w:rsidRDefault="000725E8" w:rsidP="000725E8">
            <w:pPr>
              <w:tabs>
                <w:tab w:val="left" w:pos="1885"/>
              </w:tabs>
              <w:spacing w:after="0" w:line="240" w:lineRule="auto"/>
              <w:jc w:val="center"/>
              <w:rPr>
                <w:rFonts w:ascii="Times New Roman" w:eastAsia="Times New Roman" w:hAnsi="Times New Roman" w:cs="Times New Roman"/>
                <w:b/>
              </w:rPr>
            </w:pPr>
            <w:r w:rsidRPr="000725E8">
              <w:rPr>
                <w:rFonts w:ascii="Times New Roman" w:eastAsia="Times New Roman" w:hAnsi="Times New Roman" w:cs="Times New Roman"/>
                <w:b/>
              </w:rPr>
              <w:t>2012.</w:t>
            </w:r>
          </w:p>
          <w:p w:rsidR="000725E8" w:rsidRPr="000725E8" w:rsidRDefault="000725E8" w:rsidP="000725E8">
            <w:pPr>
              <w:tabs>
                <w:tab w:val="left" w:pos="1885"/>
              </w:tabs>
              <w:spacing w:after="0" w:line="240" w:lineRule="auto"/>
              <w:jc w:val="center"/>
              <w:rPr>
                <w:rFonts w:ascii="Times New Roman" w:eastAsia="Times New Roman" w:hAnsi="Times New Roman" w:cs="Times New Roman"/>
                <w:b/>
              </w:rPr>
            </w:pPr>
            <w:r w:rsidRPr="000725E8">
              <w:rPr>
                <w:rFonts w:ascii="Times New Roman" w:eastAsia="Times New Roman" w:hAnsi="Times New Roman" w:cs="Times New Roman"/>
                <w:b/>
              </w:rPr>
              <w:t>година</w:t>
            </w:r>
          </w:p>
        </w:tc>
        <w:tc>
          <w:tcPr>
            <w:tcW w:w="3118" w:type="dxa"/>
            <w:shd w:val="clear" w:color="auto" w:fill="auto"/>
            <w:vAlign w:val="center"/>
          </w:tcPr>
          <w:p w:rsidR="000725E8" w:rsidRPr="000725E8" w:rsidRDefault="000725E8" w:rsidP="000725E8">
            <w:pPr>
              <w:tabs>
                <w:tab w:val="left" w:pos="1885"/>
              </w:tabs>
              <w:spacing w:after="0" w:line="240" w:lineRule="auto"/>
              <w:jc w:val="center"/>
              <w:rPr>
                <w:rFonts w:ascii="Times New Roman" w:eastAsia="Times New Roman" w:hAnsi="Times New Roman" w:cs="Times New Roman"/>
                <w:b/>
              </w:rPr>
            </w:pPr>
            <w:r w:rsidRPr="000725E8">
              <w:rPr>
                <w:rFonts w:ascii="Times New Roman" w:eastAsia="Times New Roman" w:hAnsi="Times New Roman" w:cs="Times New Roman"/>
                <w:b/>
              </w:rPr>
              <w:t>2013.</w:t>
            </w:r>
          </w:p>
          <w:p w:rsidR="000725E8" w:rsidRPr="000725E8" w:rsidRDefault="000725E8" w:rsidP="000725E8">
            <w:pPr>
              <w:tabs>
                <w:tab w:val="left" w:pos="1885"/>
              </w:tabs>
              <w:spacing w:after="0" w:line="240" w:lineRule="auto"/>
              <w:jc w:val="center"/>
              <w:rPr>
                <w:rFonts w:ascii="Times New Roman" w:eastAsia="Times New Roman" w:hAnsi="Times New Roman" w:cs="Times New Roman"/>
                <w:b/>
              </w:rPr>
            </w:pPr>
            <w:r w:rsidRPr="000725E8">
              <w:rPr>
                <w:rFonts w:ascii="Times New Roman" w:eastAsia="Times New Roman" w:hAnsi="Times New Roman" w:cs="Times New Roman"/>
                <w:b/>
              </w:rPr>
              <w:t>година</w:t>
            </w:r>
          </w:p>
        </w:tc>
        <w:tc>
          <w:tcPr>
            <w:tcW w:w="2897" w:type="dxa"/>
            <w:shd w:val="clear" w:color="auto" w:fill="auto"/>
            <w:vAlign w:val="center"/>
          </w:tcPr>
          <w:p w:rsidR="000725E8" w:rsidRPr="000725E8" w:rsidRDefault="000725E8" w:rsidP="000725E8">
            <w:pPr>
              <w:tabs>
                <w:tab w:val="left" w:pos="1885"/>
              </w:tabs>
              <w:spacing w:after="0" w:line="240" w:lineRule="auto"/>
              <w:jc w:val="center"/>
              <w:rPr>
                <w:rFonts w:ascii="Times New Roman" w:eastAsia="Times New Roman" w:hAnsi="Times New Roman" w:cs="Times New Roman"/>
                <w:b/>
              </w:rPr>
            </w:pPr>
            <w:r w:rsidRPr="000725E8">
              <w:rPr>
                <w:rFonts w:ascii="Times New Roman" w:eastAsia="Times New Roman" w:hAnsi="Times New Roman" w:cs="Times New Roman"/>
                <w:b/>
              </w:rPr>
              <w:t>2014.</w:t>
            </w:r>
          </w:p>
          <w:p w:rsidR="000725E8" w:rsidRPr="0037097C" w:rsidRDefault="000725E8" w:rsidP="0037097C">
            <w:pPr>
              <w:tabs>
                <w:tab w:val="left" w:pos="1885"/>
              </w:tabs>
              <w:spacing w:after="0" w:line="240" w:lineRule="auto"/>
              <w:jc w:val="center"/>
              <w:rPr>
                <w:rFonts w:ascii="Times New Roman" w:eastAsia="Times New Roman" w:hAnsi="Times New Roman" w:cs="Times New Roman"/>
                <w:b/>
                <w:lang w:val="sr-Cyrl-RS"/>
              </w:rPr>
            </w:pPr>
            <w:r w:rsidRPr="000725E8">
              <w:rPr>
                <w:rFonts w:ascii="Times New Roman" w:eastAsia="Times New Roman" w:hAnsi="Times New Roman" w:cs="Times New Roman"/>
                <w:b/>
              </w:rPr>
              <w:t xml:space="preserve">прво </w:t>
            </w:r>
            <w:r w:rsidR="0037097C">
              <w:rPr>
                <w:rFonts w:ascii="Times New Roman" w:eastAsia="Times New Roman" w:hAnsi="Times New Roman" w:cs="Times New Roman"/>
                <w:b/>
                <w:lang w:val="sr-Cyrl-RS"/>
              </w:rPr>
              <w:t>полугодиште</w:t>
            </w:r>
          </w:p>
        </w:tc>
      </w:tr>
      <w:tr w:rsidR="000725E8" w:rsidRPr="000725E8" w:rsidTr="00A8404D">
        <w:tblPrEx>
          <w:tblLook w:val="04A0" w:firstRow="1" w:lastRow="0" w:firstColumn="1" w:lastColumn="0" w:noHBand="0" w:noVBand="1"/>
        </w:tblPrEx>
        <w:trPr>
          <w:jc w:val="center"/>
        </w:trPr>
        <w:tc>
          <w:tcPr>
            <w:tcW w:w="3465" w:type="dxa"/>
            <w:shd w:val="clear" w:color="auto" w:fill="auto"/>
            <w:vAlign w:val="center"/>
          </w:tcPr>
          <w:p w:rsidR="000725E8" w:rsidRPr="000725E8" w:rsidRDefault="000725E8" w:rsidP="000725E8">
            <w:pPr>
              <w:tabs>
                <w:tab w:val="left" w:pos="1885"/>
              </w:tabs>
              <w:spacing w:after="0" w:line="240" w:lineRule="auto"/>
              <w:jc w:val="center"/>
              <w:rPr>
                <w:rFonts w:ascii="Times New Roman" w:eastAsia="Times New Roman" w:hAnsi="Times New Roman" w:cs="Times New Roman"/>
                <w:sz w:val="24"/>
                <w:szCs w:val="24"/>
              </w:rPr>
            </w:pPr>
            <w:r w:rsidRPr="000725E8">
              <w:rPr>
                <w:rFonts w:ascii="Times New Roman" w:eastAsia="Times New Roman" w:hAnsi="Times New Roman" w:cs="Times New Roman"/>
                <w:sz w:val="24"/>
                <w:szCs w:val="24"/>
              </w:rPr>
              <w:t>2,6</w:t>
            </w:r>
          </w:p>
        </w:tc>
        <w:tc>
          <w:tcPr>
            <w:tcW w:w="3118" w:type="dxa"/>
            <w:shd w:val="clear" w:color="auto" w:fill="auto"/>
            <w:vAlign w:val="center"/>
          </w:tcPr>
          <w:p w:rsidR="000725E8" w:rsidRPr="000725E8" w:rsidRDefault="000725E8" w:rsidP="000725E8">
            <w:pPr>
              <w:tabs>
                <w:tab w:val="left" w:pos="1885"/>
              </w:tabs>
              <w:spacing w:after="0" w:line="240" w:lineRule="auto"/>
              <w:jc w:val="center"/>
              <w:rPr>
                <w:rFonts w:ascii="Times New Roman" w:eastAsia="Times New Roman" w:hAnsi="Times New Roman" w:cs="Times New Roman"/>
                <w:sz w:val="24"/>
                <w:szCs w:val="24"/>
              </w:rPr>
            </w:pPr>
            <w:r w:rsidRPr="000725E8">
              <w:rPr>
                <w:rFonts w:ascii="Times New Roman" w:eastAsia="Times New Roman" w:hAnsi="Times New Roman" w:cs="Times New Roman"/>
                <w:sz w:val="24"/>
                <w:szCs w:val="24"/>
              </w:rPr>
              <w:t>2,7</w:t>
            </w:r>
          </w:p>
        </w:tc>
        <w:tc>
          <w:tcPr>
            <w:tcW w:w="2897" w:type="dxa"/>
            <w:shd w:val="clear" w:color="auto" w:fill="auto"/>
            <w:vAlign w:val="center"/>
          </w:tcPr>
          <w:p w:rsidR="000725E8" w:rsidRPr="000725E8" w:rsidRDefault="000725E8" w:rsidP="000725E8">
            <w:pPr>
              <w:tabs>
                <w:tab w:val="left" w:pos="1885"/>
              </w:tabs>
              <w:spacing w:after="0" w:line="240" w:lineRule="auto"/>
              <w:jc w:val="center"/>
              <w:rPr>
                <w:rFonts w:ascii="Times New Roman" w:eastAsia="Times New Roman" w:hAnsi="Times New Roman" w:cs="Times New Roman"/>
                <w:sz w:val="24"/>
                <w:szCs w:val="24"/>
              </w:rPr>
            </w:pPr>
            <w:r w:rsidRPr="000725E8">
              <w:rPr>
                <w:rFonts w:ascii="Times New Roman" w:eastAsia="Times New Roman" w:hAnsi="Times New Roman" w:cs="Times New Roman"/>
                <w:sz w:val="24"/>
                <w:szCs w:val="24"/>
              </w:rPr>
              <w:t>2,7</w:t>
            </w:r>
          </w:p>
        </w:tc>
      </w:tr>
    </w:tbl>
    <w:p w:rsidR="00FF2D0F" w:rsidRPr="00740B7E" w:rsidRDefault="00FF2D0F" w:rsidP="00FF2D0F">
      <w:pPr>
        <w:rPr>
          <w:rFonts w:ascii="Times New Roman" w:hAnsi="Times New Roman" w:cs="Times New Roman"/>
          <w:sz w:val="24"/>
          <w:szCs w:val="24"/>
        </w:rPr>
      </w:pPr>
    </w:p>
    <w:p w:rsidR="00FF2D0F" w:rsidRPr="00FF2D0F" w:rsidRDefault="00FF2D0F" w:rsidP="007B4B66">
      <w:pPr>
        <w:jc w:val="both"/>
        <w:rPr>
          <w:rFonts w:ascii="Times New Roman" w:hAnsi="Times New Roman" w:cs="Times New Roman"/>
          <w:sz w:val="24"/>
          <w:szCs w:val="24"/>
        </w:rPr>
      </w:pPr>
      <w:r>
        <w:rPr>
          <w:rFonts w:ascii="Times New Roman" w:hAnsi="Times New Roman" w:cs="Times New Roman"/>
          <w:sz w:val="24"/>
          <w:szCs w:val="24"/>
        </w:rPr>
        <w:t xml:space="preserve">Као што се из </w:t>
      </w:r>
      <w:r w:rsidRPr="00FF31E5">
        <w:rPr>
          <w:rFonts w:ascii="Times New Roman" w:hAnsi="Times New Roman" w:cs="Times New Roman"/>
          <w:sz w:val="24"/>
          <w:szCs w:val="24"/>
        </w:rPr>
        <w:t xml:space="preserve">Табеле </w:t>
      </w:r>
      <w:r w:rsidR="00A26E9A" w:rsidRPr="00FF31E5">
        <w:rPr>
          <w:rFonts w:ascii="Times New Roman" w:hAnsi="Times New Roman" w:cs="Times New Roman"/>
          <w:sz w:val="24"/>
          <w:szCs w:val="24"/>
        </w:rPr>
        <w:t>5</w:t>
      </w:r>
      <w:r>
        <w:rPr>
          <w:rFonts w:ascii="Times New Roman" w:hAnsi="Times New Roman" w:cs="Times New Roman"/>
          <w:sz w:val="24"/>
          <w:szCs w:val="24"/>
        </w:rPr>
        <w:t xml:space="preserve"> може видети, интензитет конкуренције </w:t>
      </w:r>
      <w:r w:rsidR="00F53080">
        <w:rPr>
          <w:rFonts w:ascii="Times New Roman" w:hAnsi="Times New Roman" w:cs="Times New Roman"/>
          <w:sz w:val="24"/>
          <w:szCs w:val="24"/>
        </w:rPr>
        <w:t>ј</w:t>
      </w:r>
      <w:r>
        <w:rPr>
          <w:rFonts w:ascii="Times New Roman" w:hAnsi="Times New Roman" w:cs="Times New Roman"/>
          <w:sz w:val="24"/>
          <w:szCs w:val="24"/>
        </w:rPr>
        <w:t xml:space="preserve">е, у </w:t>
      </w:r>
      <w:r w:rsidR="00C60758">
        <w:rPr>
          <w:rFonts w:ascii="Times New Roman" w:hAnsi="Times New Roman" w:cs="Times New Roman"/>
          <w:sz w:val="24"/>
          <w:szCs w:val="24"/>
        </w:rPr>
        <w:t xml:space="preserve">првом полугодишту </w:t>
      </w:r>
      <w:r w:rsidR="00F35FCC">
        <w:rPr>
          <w:rFonts w:ascii="Times New Roman" w:hAnsi="Times New Roman" w:cs="Times New Roman"/>
          <w:sz w:val="24"/>
          <w:szCs w:val="24"/>
        </w:rPr>
        <w:t>201</w:t>
      </w:r>
      <w:r w:rsidR="00C60758">
        <w:rPr>
          <w:rFonts w:ascii="Times New Roman" w:hAnsi="Times New Roman" w:cs="Times New Roman"/>
          <w:sz w:val="24"/>
          <w:szCs w:val="24"/>
        </w:rPr>
        <w:t>4</w:t>
      </w:r>
      <w:r w:rsidR="00F35FCC">
        <w:rPr>
          <w:rFonts w:ascii="Times New Roman" w:hAnsi="Times New Roman" w:cs="Times New Roman"/>
          <w:sz w:val="24"/>
          <w:szCs w:val="24"/>
        </w:rPr>
        <w:t xml:space="preserve">. </w:t>
      </w:r>
      <w:r w:rsidR="00587396">
        <w:rPr>
          <w:rFonts w:ascii="Times New Roman" w:hAnsi="Times New Roman" w:cs="Times New Roman"/>
          <w:sz w:val="24"/>
          <w:szCs w:val="24"/>
        </w:rPr>
        <w:t>г</w:t>
      </w:r>
      <w:r w:rsidR="00F35FCC">
        <w:rPr>
          <w:rFonts w:ascii="Times New Roman" w:hAnsi="Times New Roman" w:cs="Times New Roman"/>
          <w:sz w:val="24"/>
          <w:szCs w:val="24"/>
        </w:rPr>
        <w:t>один</w:t>
      </w:r>
      <w:r w:rsidR="00C60758">
        <w:rPr>
          <w:rFonts w:ascii="Times New Roman" w:hAnsi="Times New Roman" w:cs="Times New Roman"/>
          <w:sz w:val="24"/>
          <w:szCs w:val="24"/>
        </w:rPr>
        <w:t>е</w:t>
      </w:r>
      <w:r w:rsidR="00587396">
        <w:rPr>
          <w:rFonts w:ascii="Times New Roman" w:hAnsi="Times New Roman" w:cs="Times New Roman"/>
          <w:sz w:val="24"/>
          <w:szCs w:val="24"/>
        </w:rPr>
        <w:t xml:space="preserve">, </w:t>
      </w:r>
      <w:r w:rsidR="00F53080">
        <w:rPr>
          <w:rFonts w:ascii="Times New Roman" w:hAnsi="Times New Roman" w:cs="Times New Roman"/>
          <w:sz w:val="24"/>
          <w:szCs w:val="24"/>
        </w:rPr>
        <w:t>био 2,7</w:t>
      </w:r>
      <w:r w:rsidR="0037097C">
        <w:rPr>
          <w:rFonts w:ascii="Times New Roman" w:hAnsi="Times New Roman" w:cs="Times New Roman"/>
          <w:sz w:val="24"/>
          <w:szCs w:val="24"/>
          <w:lang w:val="sr-Cyrl-RS"/>
        </w:rPr>
        <w:t xml:space="preserve">, односно </w:t>
      </w:r>
      <w:r w:rsidR="00EB7114">
        <w:rPr>
          <w:rFonts w:ascii="Times New Roman" w:hAnsi="Times New Roman" w:cs="Times New Roman"/>
          <w:sz w:val="24"/>
          <w:szCs w:val="24"/>
        </w:rPr>
        <w:t xml:space="preserve">на нивоу као и у </w:t>
      </w:r>
      <w:r w:rsidR="00C60758">
        <w:rPr>
          <w:rFonts w:ascii="Times New Roman" w:hAnsi="Times New Roman" w:cs="Times New Roman"/>
          <w:sz w:val="24"/>
          <w:szCs w:val="24"/>
        </w:rPr>
        <w:t>претходн</w:t>
      </w:r>
      <w:r w:rsidR="00EB7114">
        <w:rPr>
          <w:rFonts w:ascii="Times New Roman" w:hAnsi="Times New Roman" w:cs="Times New Roman"/>
          <w:sz w:val="24"/>
          <w:szCs w:val="24"/>
        </w:rPr>
        <w:t>е</w:t>
      </w:r>
      <w:r w:rsidR="0037097C">
        <w:rPr>
          <w:rFonts w:ascii="Times New Roman" w:hAnsi="Times New Roman" w:cs="Times New Roman"/>
          <w:sz w:val="24"/>
          <w:szCs w:val="24"/>
          <w:lang w:val="sr-Cyrl-RS"/>
        </w:rPr>
        <w:t xml:space="preserve"> </w:t>
      </w:r>
      <w:r w:rsidR="00EB7114">
        <w:rPr>
          <w:rFonts w:ascii="Times New Roman" w:hAnsi="Times New Roman" w:cs="Times New Roman"/>
          <w:sz w:val="24"/>
          <w:szCs w:val="24"/>
        </w:rPr>
        <w:t xml:space="preserve">две </w:t>
      </w:r>
      <w:r w:rsidR="00C60758">
        <w:rPr>
          <w:rFonts w:ascii="Times New Roman" w:hAnsi="Times New Roman" w:cs="Times New Roman"/>
          <w:sz w:val="24"/>
          <w:szCs w:val="24"/>
        </w:rPr>
        <w:t>годин</w:t>
      </w:r>
      <w:r w:rsidR="00EB7114">
        <w:rPr>
          <w:rFonts w:ascii="Times New Roman" w:hAnsi="Times New Roman" w:cs="Times New Roman"/>
          <w:sz w:val="24"/>
          <w:szCs w:val="24"/>
        </w:rPr>
        <w:t>е</w:t>
      </w:r>
      <w:r w:rsidR="00C60758">
        <w:rPr>
          <w:rFonts w:ascii="Times New Roman" w:hAnsi="Times New Roman" w:cs="Times New Roman"/>
          <w:sz w:val="24"/>
          <w:szCs w:val="24"/>
        </w:rPr>
        <w:t>.</w:t>
      </w:r>
    </w:p>
    <w:p w:rsidR="00F725C1" w:rsidRPr="00FB58EA" w:rsidRDefault="00D90F54" w:rsidP="00FB58EA">
      <w:pPr>
        <w:jc w:val="both"/>
        <w:rPr>
          <w:rFonts w:ascii="Times New Roman" w:hAnsi="Times New Roman" w:cs="Times New Roman"/>
          <w:sz w:val="24"/>
          <w:szCs w:val="24"/>
        </w:rPr>
      </w:pPr>
      <w:r>
        <w:rPr>
          <w:rFonts w:ascii="Times New Roman" w:hAnsi="Times New Roman" w:cs="Times New Roman"/>
          <w:sz w:val="24"/>
          <w:szCs w:val="24"/>
        </w:rPr>
        <w:t>Да би се могао вредновати показ</w:t>
      </w:r>
      <w:r w:rsidR="00A20355">
        <w:rPr>
          <w:rFonts w:ascii="Times New Roman" w:hAnsi="Times New Roman" w:cs="Times New Roman"/>
          <w:sz w:val="24"/>
          <w:szCs w:val="24"/>
        </w:rPr>
        <w:t>а</w:t>
      </w:r>
      <w:r>
        <w:rPr>
          <w:rFonts w:ascii="Times New Roman" w:hAnsi="Times New Roman" w:cs="Times New Roman"/>
          <w:sz w:val="24"/>
          <w:szCs w:val="24"/>
        </w:rPr>
        <w:t xml:space="preserve">тељ интензитета конкуренције у Србији, треба га упоредити са просеком ЕУ где се вредност овог показатеља креће око 4, као и са </w:t>
      </w:r>
      <w:r w:rsidR="007734EF">
        <w:rPr>
          <w:rFonts w:ascii="Times New Roman" w:hAnsi="Times New Roman" w:cs="Times New Roman"/>
          <w:sz w:val="24"/>
          <w:szCs w:val="24"/>
        </w:rPr>
        <w:t>земљама из региона</w:t>
      </w:r>
      <w:r w:rsidR="004169ED">
        <w:rPr>
          <w:rFonts w:ascii="Times New Roman" w:hAnsi="Times New Roman" w:cs="Times New Roman"/>
          <w:sz w:val="24"/>
          <w:szCs w:val="24"/>
        </w:rPr>
        <w:t xml:space="preserve">. </w:t>
      </w:r>
      <w:r w:rsidR="00884CB7">
        <w:rPr>
          <w:rFonts w:ascii="Times New Roman" w:hAnsi="Times New Roman" w:cs="Times New Roman"/>
          <w:sz w:val="24"/>
          <w:szCs w:val="24"/>
        </w:rPr>
        <w:t xml:space="preserve">У Табели </w:t>
      </w:r>
      <w:r w:rsidR="00EB7114">
        <w:rPr>
          <w:rFonts w:ascii="Times New Roman" w:hAnsi="Times New Roman" w:cs="Times New Roman"/>
          <w:sz w:val="24"/>
          <w:szCs w:val="24"/>
        </w:rPr>
        <w:t>6</w:t>
      </w:r>
      <w:r w:rsidR="00B52C7D">
        <w:rPr>
          <w:rFonts w:ascii="Times New Roman" w:hAnsi="Times New Roman" w:cs="Times New Roman"/>
          <w:sz w:val="24"/>
          <w:szCs w:val="24"/>
        </w:rPr>
        <w:t xml:space="preserve"> упоредно је </w:t>
      </w:r>
      <w:r w:rsidR="00884CB7">
        <w:rPr>
          <w:rFonts w:ascii="Times New Roman" w:hAnsi="Times New Roman" w:cs="Times New Roman"/>
          <w:sz w:val="24"/>
          <w:szCs w:val="24"/>
        </w:rPr>
        <w:t xml:space="preserve">приказан просечан број понуда по закљученом уговору у Словенији, Хрватској и </w:t>
      </w:r>
      <w:r w:rsidR="00646862">
        <w:rPr>
          <w:rFonts w:ascii="Times New Roman" w:hAnsi="Times New Roman" w:cs="Times New Roman"/>
          <w:sz w:val="24"/>
          <w:szCs w:val="24"/>
        </w:rPr>
        <w:t>Црној Гори</w:t>
      </w:r>
      <w:r w:rsidR="00FB58EA">
        <w:rPr>
          <w:rFonts w:ascii="Times New Roman" w:hAnsi="Times New Roman" w:cs="Times New Roman"/>
          <w:sz w:val="24"/>
          <w:szCs w:val="24"/>
        </w:rPr>
        <w:t>.</w:t>
      </w:r>
    </w:p>
    <w:p w:rsidR="00884CB7" w:rsidRPr="00C41DA4" w:rsidRDefault="002D4AA4" w:rsidP="00884CB7">
      <w:pPr>
        <w:rPr>
          <w:rFonts w:ascii="Times New Roman" w:hAnsi="Times New Roman" w:cs="Times New Roman"/>
          <w:b/>
          <w:sz w:val="24"/>
          <w:szCs w:val="24"/>
        </w:rPr>
      </w:pPr>
      <w:r>
        <w:rPr>
          <w:rFonts w:ascii="Times New Roman" w:hAnsi="Times New Roman" w:cs="Times New Roman"/>
          <w:b/>
          <w:sz w:val="24"/>
          <w:szCs w:val="24"/>
          <w:lang w:val="sr-Cyrl-RS"/>
        </w:rPr>
        <w:t xml:space="preserve">         </w:t>
      </w:r>
      <w:r w:rsidR="00884CB7" w:rsidRPr="00B52C7D">
        <w:rPr>
          <w:rFonts w:ascii="Times New Roman" w:hAnsi="Times New Roman" w:cs="Times New Roman"/>
          <w:b/>
          <w:sz w:val="24"/>
          <w:szCs w:val="24"/>
        </w:rPr>
        <w:t>Табела</w:t>
      </w:r>
      <w:r w:rsidR="0037097C">
        <w:rPr>
          <w:rFonts w:ascii="Times New Roman" w:hAnsi="Times New Roman" w:cs="Times New Roman"/>
          <w:b/>
          <w:sz w:val="24"/>
          <w:szCs w:val="24"/>
          <w:lang w:val="sr-Cyrl-RS"/>
        </w:rPr>
        <w:t xml:space="preserve"> </w:t>
      </w:r>
      <w:r w:rsidR="000512E4">
        <w:rPr>
          <w:rFonts w:ascii="Times New Roman" w:hAnsi="Times New Roman" w:cs="Times New Roman"/>
          <w:b/>
          <w:sz w:val="24"/>
          <w:szCs w:val="24"/>
        </w:rPr>
        <w:t>6</w:t>
      </w:r>
    </w:p>
    <w:tbl>
      <w:tblPr>
        <w:tblStyle w:val="TableGrid"/>
        <w:tblW w:w="0" w:type="auto"/>
        <w:tblInd w:w="817" w:type="dxa"/>
        <w:tblLook w:val="04A0" w:firstRow="1" w:lastRow="0" w:firstColumn="1" w:lastColumn="0" w:noHBand="0" w:noVBand="1"/>
      </w:tblPr>
      <w:tblGrid>
        <w:gridCol w:w="2977"/>
        <w:gridCol w:w="3538"/>
        <w:gridCol w:w="2982"/>
      </w:tblGrid>
      <w:tr w:rsidR="00884CB7" w:rsidTr="00F4617A">
        <w:tc>
          <w:tcPr>
            <w:tcW w:w="9497" w:type="dxa"/>
            <w:gridSpan w:val="3"/>
            <w:vAlign w:val="center"/>
          </w:tcPr>
          <w:p w:rsidR="00884CB7" w:rsidRPr="0037097C" w:rsidRDefault="00884CB7" w:rsidP="0037097C">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b/>
                <w:color w:val="000000"/>
                <w:sz w:val="24"/>
                <w:szCs w:val="24"/>
                <w:lang w:val="sr-Cyrl-RS"/>
              </w:rPr>
            </w:pPr>
            <w:r w:rsidRPr="00B52C7D">
              <w:rPr>
                <w:rFonts w:ascii="Times New Roman CYR" w:hAnsi="Times New Roman CYR" w:cs="Times New Roman CYR"/>
                <w:b/>
                <w:color w:val="000000"/>
                <w:sz w:val="24"/>
                <w:szCs w:val="24"/>
              </w:rPr>
              <w:t>Просечан број понуда по закљученом уговору</w:t>
            </w:r>
          </w:p>
        </w:tc>
      </w:tr>
      <w:tr w:rsidR="00884CB7" w:rsidTr="00F4617A">
        <w:tc>
          <w:tcPr>
            <w:tcW w:w="2977" w:type="dxa"/>
            <w:vAlign w:val="center"/>
          </w:tcPr>
          <w:p w:rsidR="00884CB7" w:rsidRPr="00646862" w:rsidRDefault="00646862" w:rsidP="00646862">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b/>
                <w:color w:val="000000"/>
                <w:sz w:val="24"/>
                <w:szCs w:val="24"/>
              </w:rPr>
            </w:pPr>
            <w:r w:rsidRPr="00B52C7D">
              <w:rPr>
                <w:rFonts w:ascii="Times New Roman CYR" w:hAnsi="Times New Roman CYR" w:cs="Times New Roman CYR"/>
                <w:b/>
                <w:color w:val="000000"/>
                <w:sz w:val="24"/>
                <w:szCs w:val="24"/>
              </w:rPr>
              <w:t>Словенија*</w:t>
            </w:r>
          </w:p>
        </w:tc>
        <w:tc>
          <w:tcPr>
            <w:tcW w:w="3538" w:type="dxa"/>
            <w:vAlign w:val="center"/>
          </w:tcPr>
          <w:p w:rsidR="00884CB7" w:rsidRPr="007734EF" w:rsidRDefault="00884CB7" w:rsidP="00A65EEE">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b/>
                <w:color w:val="000000"/>
                <w:sz w:val="24"/>
                <w:szCs w:val="24"/>
              </w:rPr>
            </w:pPr>
            <w:r w:rsidRPr="00B52C7D">
              <w:rPr>
                <w:rFonts w:ascii="Times New Roman CYR" w:hAnsi="Times New Roman CYR" w:cs="Times New Roman CYR"/>
                <w:b/>
                <w:color w:val="000000"/>
                <w:sz w:val="24"/>
                <w:szCs w:val="24"/>
              </w:rPr>
              <w:t>Хрватска*</w:t>
            </w:r>
            <w:r w:rsidR="007734EF">
              <w:rPr>
                <w:rFonts w:ascii="Times New Roman CYR" w:hAnsi="Times New Roman CYR" w:cs="Times New Roman CYR"/>
                <w:b/>
                <w:color w:val="000000"/>
                <w:sz w:val="24"/>
                <w:szCs w:val="24"/>
              </w:rPr>
              <w:t>*</w:t>
            </w:r>
          </w:p>
        </w:tc>
        <w:tc>
          <w:tcPr>
            <w:tcW w:w="2982" w:type="dxa"/>
            <w:vAlign w:val="center"/>
          </w:tcPr>
          <w:p w:rsidR="00884CB7" w:rsidRPr="00B52C7D" w:rsidRDefault="00646862" w:rsidP="00A65EEE">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b/>
                <w:color w:val="000000"/>
                <w:sz w:val="24"/>
                <w:szCs w:val="24"/>
              </w:rPr>
            </w:pPr>
            <w:r>
              <w:rPr>
                <w:rFonts w:ascii="Times New Roman CYR" w:hAnsi="Times New Roman CYR" w:cs="Times New Roman CYR"/>
                <w:b/>
                <w:color w:val="000000"/>
                <w:sz w:val="24"/>
                <w:szCs w:val="24"/>
              </w:rPr>
              <w:t>Црна Гора</w:t>
            </w:r>
            <w:r w:rsidR="007734EF">
              <w:rPr>
                <w:rFonts w:ascii="Times New Roman CYR" w:hAnsi="Times New Roman CYR" w:cs="Times New Roman CYR"/>
                <w:b/>
                <w:color w:val="000000"/>
                <w:sz w:val="24"/>
                <w:szCs w:val="24"/>
              </w:rPr>
              <w:t>***</w:t>
            </w:r>
          </w:p>
        </w:tc>
      </w:tr>
      <w:tr w:rsidR="00884CB7" w:rsidTr="00F4617A">
        <w:tc>
          <w:tcPr>
            <w:tcW w:w="2977" w:type="dxa"/>
            <w:vAlign w:val="center"/>
          </w:tcPr>
          <w:p w:rsidR="00884CB7" w:rsidRPr="00646862" w:rsidRDefault="007734EF" w:rsidP="00A65EEE">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color w:val="000000"/>
                <w:sz w:val="24"/>
                <w:szCs w:val="24"/>
              </w:rPr>
            </w:pPr>
            <w:r w:rsidRPr="00AB3BCC">
              <w:rPr>
                <w:rFonts w:ascii="Times New Roman CYR" w:hAnsi="Times New Roman CYR" w:cs="Times New Roman CYR"/>
                <w:color w:val="000000"/>
                <w:sz w:val="24"/>
                <w:szCs w:val="24"/>
              </w:rPr>
              <w:t>3,6</w:t>
            </w:r>
          </w:p>
        </w:tc>
        <w:tc>
          <w:tcPr>
            <w:tcW w:w="3538" w:type="dxa"/>
            <w:vAlign w:val="center"/>
          </w:tcPr>
          <w:p w:rsidR="00884CB7" w:rsidRPr="00AB3BCC" w:rsidRDefault="00884CB7" w:rsidP="00A65EEE">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color w:val="000000"/>
                <w:sz w:val="24"/>
                <w:szCs w:val="24"/>
              </w:rPr>
            </w:pPr>
            <w:r w:rsidRPr="00AB3BCC">
              <w:rPr>
                <w:rFonts w:ascii="Times New Roman CYR" w:hAnsi="Times New Roman CYR" w:cs="Times New Roman CYR"/>
                <w:color w:val="000000"/>
                <w:sz w:val="24"/>
                <w:szCs w:val="24"/>
              </w:rPr>
              <w:t>3,3</w:t>
            </w:r>
          </w:p>
        </w:tc>
        <w:tc>
          <w:tcPr>
            <w:tcW w:w="2982" w:type="dxa"/>
            <w:vAlign w:val="center"/>
          </w:tcPr>
          <w:p w:rsidR="00884CB7" w:rsidRPr="007734EF" w:rsidRDefault="00EB7114" w:rsidP="00A65EEE">
            <w:pPr>
              <w:widowControl w:val="0"/>
              <w:tabs>
                <w:tab w:val="left" w:pos="90"/>
                <w:tab w:val="center" w:pos="7596"/>
                <w:tab w:val="center" w:pos="9501"/>
              </w:tabs>
              <w:autoSpaceDE w:val="0"/>
              <w:autoSpaceDN w:val="0"/>
              <w:adjustRightInd w:val="0"/>
              <w:spacing w:before="97"/>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3</w:t>
            </w:r>
            <w:r w:rsidR="007734EF">
              <w:rPr>
                <w:rFonts w:ascii="Times New Roman CYR" w:hAnsi="Times New Roman CYR" w:cs="Times New Roman CYR"/>
                <w:color w:val="000000"/>
                <w:sz w:val="24"/>
                <w:szCs w:val="24"/>
              </w:rPr>
              <w:t>,1</w:t>
            </w:r>
          </w:p>
        </w:tc>
      </w:tr>
    </w:tbl>
    <w:p w:rsidR="00740B7E" w:rsidRDefault="00740B7E" w:rsidP="00884CB7">
      <w:pPr>
        <w:rPr>
          <w:rFonts w:ascii="Times New Roman" w:hAnsi="Times New Roman" w:cs="Times New Roman"/>
        </w:rPr>
      </w:pPr>
    </w:p>
    <w:p w:rsidR="007734EF" w:rsidRPr="00FB58EA" w:rsidRDefault="00884CB7" w:rsidP="00884CB7">
      <w:pPr>
        <w:rPr>
          <w:rFonts w:ascii="Times New Roman" w:hAnsi="Times New Roman" w:cs="Times New Roman"/>
          <w:sz w:val="20"/>
          <w:szCs w:val="20"/>
        </w:rPr>
      </w:pPr>
      <w:r w:rsidRPr="00FB58EA">
        <w:rPr>
          <w:rFonts w:ascii="Times New Roman" w:hAnsi="Times New Roman" w:cs="Times New Roman"/>
          <w:sz w:val="20"/>
          <w:szCs w:val="20"/>
        </w:rPr>
        <w:t xml:space="preserve">* </w:t>
      </w:r>
      <w:r w:rsidR="007734EF" w:rsidRPr="00FB58EA">
        <w:rPr>
          <w:rFonts w:ascii="Times New Roman" w:hAnsi="Times New Roman" w:cs="Times New Roman"/>
          <w:sz w:val="20"/>
          <w:szCs w:val="20"/>
        </w:rPr>
        <w:t xml:space="preserve">2012. година, Извор: Статистички извештај о јавним набавкама реализованим у 2012. години, Директорат за јавне набавке, Република Словенија, линк: </w:t>
      </w:r>
      <w:hyperlink r:id="rId27" w:tgtFrame="_blank" w:history="1">
        <w:r w:rsidR="007734EF" w:rsidRPr="00FB58EA">
          <w:rPr>
            <w:rStyle w:val="Hyperlink"/>
            <w:rFonts w:ascii="Times New Roman" w:hAnsi="Times New Roman" w:cs="Times New Roman"/>
            <w:sz w:val="20"/>
            <w:szCs w:val="20"/>
          </w:rPr>
          <w:t>http://www.djn.mf.gov.si/resources/files/Sistem_javnega_narocanja/Stat_por_JN2012_IN.pdf</w:t>
        </w:r>
      </w:hyperlink>
    </w:p>
    <w:p w:rsidR="00884CB7" w:rsidRPr="00FB58EA" w:rsidRDefault="007734EF" w:rsidP="00884CB7">
      <w:pPr>
        <w:rPr>
          <w:rFonts w:ascii="Times New Roman" w:hAnsi="Times New Roman" w:cs="Times New Roman"/>
          <w:sz w:val="20"/>
          <w:szCs w:val="20"/>
        </w:rPr>
      </w:pPr>
      <w:r w:rsidRPr="00FB58EA">
        <w:rPr>
          <w:rFonts w:ascii="Times New Roman" w:hAnsi="Times New Roman" w:cs="Times New Roman"/>
          <w:sz w:val="20"/>
          <w:szCs w:val="20"/>
        </w:rPr>
        <w:t>**</w:t>
      </w:r>
      <w:r w:rsidR="00884CB7" w:rsidRPr="00FB58EA">
        <w:rPr>
          <w:rFonts w:ascii="Times New Roman" w:hAnsi="Times New Roman" w:cs="Times New Roman"/>
          <w:sz w:val="20"/>
          <w:szCs w:val="20"/>
        </w:rPr>
        <w:t>2011</w:t>
      </w:r>
      <w:r w:rsidR="002415F4" w:rsidRPr="00FB58EA">
        <w:rPr>
          <w:rFonts w:ascii="Times New Roman" w:hAnsi="Times New Roman" w:cs="Times New Roman"/>
          <w:sz w:val="20"/>
          <w:szCs w:val="20"/>
        </w:rPr>
        <w:t>.</w:t>
      </w:r>
      <w:r w:rsidR="00884CB7" w:rsidRPr="00FB58EA">
        <w:rPr>
          <w:rFonts w:ascii="Times New Roman" w:hAnsi="Times New Roman" w:cs="Times New Roman"/>
          <w:sz w:val="20"/>
          <w:szCs w:val="20"/>
        </w:rPr>
        <w:t xml:space="preserve"> година, Извор: Статистички годишњи извештај о јавним набавкама за 2011. годину, Портал јавних</w:t>
      </w:r>
      <w:r w:rsidR="00C73F33">
        <w:rPr>
          <w:rFonts w:ascii="Times New Roman" w:hAnsi="Times New Roman" w:cs="Times New Roman"/>
          <w:sz w:val="20"/>
          <w:szCs w:val="20"/>
          <w:lang w:val="sr-Cyrl-RS"/>
        </w:rPr>
        <w:t xml:space="preserve"> </w:t>
      </w:r>
      <w:r w:rsidR="00884CB7" w:rsidRPr="00FB58EA">
        <w:rPr>
          <w:rFonts w:ascii="Times New Roman" w:hAnsi="Times New Roman" w:cs="Times New Roman"/>
          <w:sz w:val="20"/>
          <w:szCs w:val="20"/>
        </w:rPr>
        <w:t>набавки, Република Хрватска</w:t>
      </w:r>
      <w:r w:rsidR="007E1FAD" w:rsidRPr="00FB58EA">
        <w:rPr>
          <w:rFonts w:ascii="Times New Roman" w:hAnsi="Times New Roman" w:cs="Times New Roman"/>
          <w:sz w:val="20"/>
          <w:szCs w:val="20"/>
        </w:rPr>
        <w:t xml:space="preserve">, </w:t>
      </w:r>
      <w:r w:rsidR="009F3C49" w:rsidRPr="00FB58EA">
        <w:rPr>
          <w:rFonts w:ascii="Times New Roman" w:hAnsi="Times New Roman" w:cs="Times New Roman"/>
          <w:sz w:val="20"/>
          <w:szCs w:val="20"/>
        </w:rPr>
        <w:t xml:space="preserve">страна 45, </w:t>
      </w:r>
      <w:r w:rsidR="007E1FAD" w:rsidRPr="00FB58EA">
        <w:rPr>
          <w:rFonts w:ascii="Times New Roman" w:hAnsi="Times New Roman" w:cs="Times New Roman"/>
          <w:sz w:val="20"/>
          <w:szCs w:val="20"/>
        </w:rPr>
        <w:t xml:space="preserve">линк: </w:t>
      </w:r>
      <w:hyperlink r:id="rId28" w:history="1">
        <w:r w:rsidR="007E1FAD" w:rsidRPr="00FB58EA">
          <w:rPr>
            <w:rStyle w:val="Hyperlink"/>
            <w:rFonts w:ascii="Times New Roman" w:hAnsi="Times New Roman" w:cs="Times New Roman"/>
            <w:sz w:val="20"/>
            <w:szCs w:val="20"/>
          </w:rPr>
          <w:t>http://www.javnanabava.hr/userdocsimages/userfiles/file/Statistička%20izvješća/Godišnja/Statisticko_izvjesce_JN-2011.pdf</w:t>
        </w:r>
      </w:hyperlink>
    </w:p>
    <w:p w:rsidR="007E1FAD" w:rsidRDefault="007734EF" w:rsidP="00EB7114">
      <w:pPr>
        <w:pStyle w:val="FootnoteText"/>
        <w:rPr>
          <w:rFonts w:ascii="Times New Roman" w:hAnsi="Times New Roman" w:cs="Times New Roman"/>
        </w:rPr>
      </w:pPr>
      <w:r w:rsidRPr="00FB58EA">
        <w:rPr>
          <w:rFonts w:ascii="Times New Roman" w:hAnsi="Times New Roman" w:cs="Times New Roman"/>
        </w:rPr>
        <w:t>***201</w:t>
      </w:r>
      <w:r w:rsidR="00EB7114">
        <w:rPr>
          <w:rFonts w:ascii="Times New Roman" w:hAnsi="Times New Roman" w:cs="Times New Roman"/>
        </w:rPr>
        <w:t>3</w:t>
      </w:r>
      <w:r w:rsidRPr="00FB58EA">
        <w:rPr>
          <w:rFonts w:ascii="Times New Roman" w:hAnsi="Times New Roman" w:cs="Times New Roman"/>
        </w:rPr>
        <w:t>. година, Извор:  Извештај о јавним набавкама у Црној Гори за 201</w:t>
      </w:r>
      <w:r w:rsidR="00EB7114">
        <w:rPr>
          <w:rFonts w:ascii="Times New Roman" w:hAnsi="Times New Roman" w:cs="Times New Roman"/>
        </w:rPr>
        <w:t>3</w:t>
      </w:r>
      <w:r w:rsidRPr="00FB58EA">
        <w:rPr>
          <w:rFonts w:ascii="Times New Roman" w:hAnsi="Times New Roman" w:cs="Times New Roman"/>
        </w:rPr>
        <w:t xml:space="preserve">. годину, Управа за јавне набавке Црне Горе, линк: </w:t>
      </w:r>
      <w:hyperlink r:id="rId29" w:history="1">
        <w:r w:rsidR="00EB7114" w:rsidRPr="00A62A86">
          <w:rPr>
            <w:rStyle w:val="Hyperlink"/>
          </w:rPr>
          <w:t>http://www.ujn.gov.me/wp-content/uploads/2014/06/Izvjestaj2013.pdf</w:t>
        </w:r>
      </w:hyperlink>
      <w:r w:rsidR="001B087D">
        <w:rPr>
          <w:rStyle w:val="Hyperlink"/>
          <w:lang w:val="sr-Cyrl-RS"/>
        </w:rPr>
        <w:t xml:space="preserve"> </w:t>
      </w:r>
      <w:r w:rsidR="00C73F33">
        <w:rPr>
          <w:rStyle w:val="Hyperlink"/>
          <w:lang w:val="sr-Cyrl-RS"/>
        </w:rPr>
        <w:t xml:space="preserve">, </w:t>
      </w:r>
      <w:r w:rsidR="00EB7114">
        <w:rPr>
          <w:rFonts w:ascii="Times New Roman" w:hAnsi="Times New Roman" w:cs="Times New Roman"/>
        </w:rPr>
        <w:t>Табела 26</w:t>
      </w:r>
      <w:r w:rsidRPr="00FB58EA">
        <w:rPr>
          <w:rFonts w:ascii="Times New Roman" w:hAnsi="Times New Roman" w:cs="Times New Roman"/>
        </w:rPr>
        <w:t xml:space="preserve">, стр. </w:t>
      </w:r>
      <w:r w:rsidR="00EB7114">
        <w:rPr>
          <w:rFonts w:ascii="Times New Roman" w:hAnsi="Times New Roman" w:cs="Times New Roman"/>
        </w:rPr>
        <w:t>7</w:t>
      </w:r>
      <w:r w:rsidRPr="00FB58EA">
        <w:rPr>
          <w:rFonts w:ascii="Times New Roman" w:hAnsi="Times New Roman" w:cs="Times New Roman"/>
        </w:rPr>
        <w:t xml:space="preserve">1 </w:t>
      </w:r>
    </w:p>
    <w:p w:rsidR="00FB58EA" w:rsidRPr="00FB58EA" w:rsidRDefault="00FB58EA" w:rsidP="00FB58EA">
      <w:pPr>
        <w:pStyle w:val="FootnoteText"/>
        <w:rPr>
          <w:rFonts w:ascii="Times New Roman" w:hAnsi="Times New Roman" w:cs="Times New Roman"/>
        </w:rPr>
      </w:pPr>
    </w:p>
    <w:p w:rsidR="004169ED" w:rsidRDefault="004169ED" w:rsidP="00FE35A5">
      <w:pPr>
        <w:rPr>
          <w:rFonts w:ascii="Times New Roman" w:hAnsi="Times New Roman" w:cs="Times New Roman"/>
          <w:sz w:val="24"/>
          <w:szCs w:val="24"/>
        </w:rPr>
      </w:pPr>
      <w:r>
        <w:rPr>
          <w:rFonts w:ascii="Times New Roman" w:hAnsi="Times New Roman" w:cs="Times New Roman"/>
          <w:sz w:val="24"/>
          <w:szCs w:val="24"/>
        </w:rPr>
        <w:t>Као извор података за Словенију</w:t>
      </w:r>
      <w:r w:rsidR="007734EF">
        <w:rPr>
          <w:rFonts w:ascii="Times New Roman" w:hAnsi="Times New Roman" w:cs="Times New Roman"/>
          <w:sz w:val="24"/>
          <w:szCs w:val="24"/>
        </w:rPr>
        <w:t xml:space="preserve">, </w:t>
      </w:r>
      <w:r>
        <w:rPr>
          <w:rFonts w:ascii="Times New Roman" w:hAnsi="Times New Roman" w:cs="Times New Roman"/>
          <w:sz w:val="24"/>
          <w:szCs w:val="24"/>
        </w:rPr>
        <w:t>Хрватску</w:t>
      </w:r>
      <w:r w:rsidR="00C73F33">
        <w:rPr>
          <w:rFonts w:ascii="Times New Roman" w:hAnsi="Times New Roman" w:cs="Times New Roman"/>
          <w:sz w:val="24"/>
          <w:szCs w:val="24"/>
          <w:lang w:val="sr-Cyrl-RS"/>
        </w:rPr>
        <w:t xml:space="preserve"> </w:t>
      </w:r>
      <w:r w:rsidR="007734EF">
        <w:rPr>
          <w:rFonts w:ascii="Times New Roman" w:hAnsi="Times New Roman" w:cs="Times New Roman"/>
          <w:sz w:val="24"/>
          <w:szCs w:val="24"/>
        </w:rPr>
        <w:t xml:space="preserve">и Црну Гору </w:t>
      </w:r>
      <w:r>
        <w:rPr>
          <w:rFonts w:ascii="Times New Roman" w:hAnsi="Times New Roman" w:cs="Times New Roman"/>
          <w:sz w:val="24"/>
          <w:szCs w:val="24"/>
        </w:rPr>
        <w:t xml:space="preserve">коришћени су последњи доступни статистички извештаји о јавним набавкама који садрже податак о просечном броју понуда по закљученом уговору. </w:t>
      </w:r>
    </w:p>
    <w:p w:rsidR="00FE35A5" w:rsidRDefault="00BB0B53" w:rsidP="00FE35A5">
      <w:pPr>
        <w:rPr>
          <w:rFonts w:ascii="Times New Roman" w:hAnsi="Times New Roman" w:cs="Times New Roman"/>
          <w:sz w:val="24"/>
          <w:szCs w:val="24"/>
        </w:rPr>
      </w:pPr>
      <w:r>
        <w:rPr>
          <w:rFonts w:ascii="Times New Roman" w:hAnsi="Times New Roman" w:cs="Times New Roman"/>
          <w:sz w:val="24"/>
          <w:szCs w:val="24"/>
        </w:rPr>
        <w:t xml:space="preserve">Као што се из </w:t>
      </w:r>
      <w:r w:rsidRPr="00A93681">
        <w:rPr>
          <w:rFonts w:ascii="Times New Roman" w:hAnsi="Times New Roman" w:cs="Times New Roman"/>
          <w:sz w:val="24"/>
          <w:szCs w:val="24"/>
        </w:rPr>
        <w:t>Табеле</w:t>
      </w:r>
      <w:r w:rsidR="00E37F4F" w:rsidRPr="00A93681">
        <w:rPr>
          <w:rFonts w:ascii="Times New Roman" w:hAnsi="Times New Roman" w:cs="Times New Roman"/>
          <w:sz w:val="24"/>
          <w:szCs w:val="24"/>
          <w:lang w:val="sr-Cyrl-RS"/>
        </w:rPr>
        <w:t xml:space="preserve"> </w:t>
      </w:r>
      <w:r w:rsidR="002F6602" w:rsidRPr="00A93681">
        <w:rPr>
          <w:rFonts w:ascii="Times New Roman" w:hAnsi="Times New Roman" w:cs="Times New Roman"/>
          <w:sz w:val="24"/>
          <w:szCs w:val="24"/>
        </w:rPr>
        <w:t>6</w:t>
      </w:r>
      <w:r w:rsidR="00786677">
        <w:rPr>
          <w:rFonts w:ascii="Times New Roman" w:hAnsi="Times New Roman" w:cs="Times New Roman"/>
          <w:color w:val="FF0000"/>
          <w:sz w:val="24"/>
          <w:szCs w:val="24"/>
        </w:rPr>
        <w:t xml:space="preserve"> </w:t>
      </w:r>
      <w:r>
        <w:rPr>
          <w:rFonts w:ascii="Times New Roman" w:hAnsi="Times New Roman" w:cs="Times New Roman"/>
          <w:sz w:val="24"/>
          <w:szCs w:val="24"/>
        </w:rPr>
        <w:t xml:space="preserve">може видети, интензитет конкуренције у </w:t>
      </w:r>
      <w:r w:rsidR="000D5EF5">
        <w:rPr>
          <w:rFonts w:ascii="Times New Roman" w:hAnsi="Times New Roman" w:cs="Times New Roman"/>
          <w:sz w:val="24"/>
          <w:szCs w:val="24"/>
        </w:rPr>
        <w:t xml:space="preserve">јавним набавкама у </w:t>
      </w:r>
      <w:r w:rsidR="00F53080">
        <w:rPr>
          <w:rFonts w:ascii="Times New Roman" w:hAnsi="Times New Roman" w:cs="Times New Roman"/>
          <w:sz w:val="24"/>
          <w:szCs w:val="24"/>
        </w:rPr>
        <w:t>Србији</w:t>
      </w:r>
      <w:r w:rsidR="00D90F54">
        <w:rPr>
          <w:rFonts w:ascii="Times New Roman" w:hAnsi="Times New Roman" w:cs="Times New Roman"/>
          <w:sz w:val="24"/>
          <w:szCs w:val="24"/>
        </w:rPr>
        <w:t>,</w:t>
      </w:r>
      <w:r w:rsidR="00E37F4F">
        <w:rPr>
          <w:rFonts w:ascii="Times New Roman" w:hAnsi="Times New Roman" w:cs="Times New Roman"/>
          <w:sz w:val="24"/>
          <w:szCs w:val="24"/>
          <w:lang w:val="sr-Cyrl-RS"/>
        </w:rPr>
        <w:t xml:space="preserve"> </w:t>
      </w:r>
      <w:r w:rsidR="00D90F54">
        <w:rPr>
          <w:rFonts w:ascii="Times New Roman" w:hAnsi="Times New Roman" w:cs="Times New Roman"/>
          <w:sz w:val="24"/>
          <w:szCs w:val="24"/>
        </w:rPr>
        <w:t xml:space="preserve">у </w:t>
      </w:r>
      <w:r w:rsidR="00FE35A5">
        <w:rPr>
          <w:rFonts w:ascii="Times New Roman" w:hAnsi="Times New Roman" w:cs="Times New Roman"/>
          <w:sz w:val="24"/>
          <w:szCs w:val="24"/>
        </w:rPr>
        <w:t xml:space="preserve">првом полугодишту </w:t>
      </w:r>
      <w:r w:rsidR="00D90F54">
        <w:rPr>
          <w:rFonts w:ascii="Times New Roman" w:hAnsi="Times New Roman" w:cs="Times New Roman"/>
          <w:sz w:val="24"/>
          <w:szCs w:val="24"/>
        </w:rPr>
        <w:t>201</w:t>
      </w:r>
      <w:r w:rsidR="00FE35A5">
        <w:rPr>
          <w:rFonts w:ascii="Times New Roman" w:hAnsi="Times New Roman" w:cs="Times New Roman"/>
          <w:sz w:val="24"/>
          <w:szCs w:val="24"/>
        </w:rPr>
        <w:t>4</w:t>
      </w:r>
      <w:r w:rsidR="00D90F54">
        <w:rPr>
          <w:rFonts w:ascii="Times New Roman" w:hAnsi="Times New Roman" w:cs="Times New Roman"/>
          <w:sz w:val="24"/>
          <w:szCs w:val="24"/>
        </w:rPr>
        <w:t>. годин</w:t>
      </w:r>
      <w:r w:rsidR="00FE35A5">
        <w:rPr>
          <w:rFonts w:ascii="Times New Roman" w:hAnsi="Times New Roman" w:cs="Times New Roman"/>
          <w:sz w:val="24"/>
          <w:szCs w:val="24"/>
        </w:rPr>
        <w:t>е</w:t>
      </w:r>
      <w:r w:rsidR="00D90F54">
        <w:rPr>
          <w:rFonts w:ascii="Times New Roman" w:hAnsi="Times New Roman" w:cs="Times New Roman"/>
          <w:sz w:val="24"/>
          <w:szCs w:val="24"/>
        </w:rPr>
        <w:t xml:space="preserve">, </w:t>
      </w:r>
      <w:r w:rsidR="00F53080">
        <w:rPr>
          <w:rFonts w:ascii="Times New Roman" w:hAnsi="Times New Roman" w:cs="Times New Roman"/>
          <w:sz w:val="24"/>
          <w:szCs w:val="24"/>
        </w:rPr>
        <w:t xml:space="preserve">био је </w:t>
      </w:r>
      <w:r w:rsidR="00D90F54">
        <w:rPr>
          <w:rFonts w:ascii="Times New Roman" w:hAnsi="Times New Roman" w:cs="Times New Roman"/>
          <w:sz w:val="24"/>
          <w:szCs w:val="24"/>
        </w:rPr>
        <w:t xml:space="preserve">нижи од </w:t>
      </w:r>
      <w:r w:rsidR="00FE35A5">
        <w:rPr>
          <w:rFonts w:ascii="Times New Roman" w:hAnsi="Times New Roman" w:cs="Times New Roman"/>
          <w:sz w:val="24"/>
          <w:szCs w:val="24"/>
        </w:rPr>
        <w:t xml:space="preserve">нивоа који је </w:t>
      </w:r>
      <w:r w:rsidR="00D90F54">
        <w:rPr>
          <w:rFonts w:ascii="Times New Roman" w:hAnsi="Times New Roman" w:cs="Times New Roman"/>
          <w:sz w:val="24"/>
          <w:szCs w:val="24"/>
        </w:rPr>
        <w:t xml:space="preserve">остварен у посматране </w:t>
      </w:r>
      <w:r w:rsidR="007734EF">
        <w:rPr>
          <w:rFonts w:ascii="Times New Roman" w:hAnsi="Times New Roman" w:cs="Times New Roman"/>
          <w:sz w:val="24"/>
          <w:szCs w:val="24"/>
        </w:rPr>
        <w:t xml:space="preserve">три земље региона. </w:t>
      </w:r>
    </w:p>
    <w:p w:rsidR="00FB58EA" w:rsidRPr="00E37F4F" w:rsidRDefault="0082151A" w:rsidP="00E37F4F">
      <w:pPr>
        <w:rPr>
          <w:rFonts w:ascii="Times New Roman" w:hAnsi="Times New Roman" w:cs="Times New Roman"/>
          <w:sz w:val="24"/>
          <w:szCs w:val="24"/>
          <w:lang w:val="sr-Cyrl-RS"/>
        </w:rPr>
      </w:pPr>
      <w:r>
        <w:rPr>
          <w:rFonts w:ascii="Times New Roman" w:hAnsi="Times New Roman" w:cs="Times New Roman"/>
          <w:sz w:val="24"/>
          <w:szCs w:val="24"/>
        </w:rPr>
        <w:t>Стога се као један од приоритета у наредном периоду намеће идентификовање и отклањање препрека за веће учешће понуђача у поступцима јавних набавки, а пре свега малих и сре</w:t>
      </w:r>
      <w:r w:rsidR="00C61911">
        <w:rPr>
          <w:rFonts w:ascii="Times New Roman" w:hAnsi="Times New Roman" w:cs="Times New Roman"/>
          <w:sz w:val="24"/>
          <w:szCs w:val="24"/>
        </w:rPr>
        <w:t>д</w:t>
      </w:r>
      <w:r>
        <w:rPr>
          <w:rFonts w:ascii="Times New Roman" w:hAnsi="Times New Roman" w:cs="Times New Roman"/>
          <w:sz w:val="24"/>
          <w:szCs w:val="24"/>
        </w:rPr>
        <w:t xml:space="preserve">њих предузећа. </w:t>
      </w:r>
    </w:p>
    <w:p w:rsidR="001453FB" w:rsidRPr="00CC5D30" w:rsidRDefault="001453FB" w:rsidP="00CC5D30">
      <w:pPr>
        <w:pStyle w:val="ListParagraph"/>
        <w:numPr>
          <w:ilvl w:val="0"/>
          <w:numId w:val="2"/>
        </w:numPr>
        <w:rPr>
          <w:rFonts w:ascii="Times New Roman" w:hAnsi="Times New Roman" w:cs="Times New Roman"/>
          <w:b/>
          <w:sz w:val="24"/>
          <w:szCs w:val="24"/>
        </w:rPr>
      </w:pPr>
      <w:r w:rsidRPr="00CC5D30">
        <w:rPr>
          <w:rFonts w:ascii="Times New Roman" w:hAnsi="Times New Roman" w:cs="Times New Roman"/>
          <w:b/>
          <w:sz w:val="24"/>
          <w:szCs w:val="24"/>
        </w:rPr>
        <w:lastRenderedPageBreak/>
        <w:t>РЕГИСТАР ПОНУЂАЧА</w:t>
      </w:r>
    </w:p>
    <w:p w:rsidR="000E4D09" w:rsidRDefault="000E4D09" w:rsidP="007B4B66">
      <w:pPr>
        <w:jc w:val="both"/>
        <w:rPr>
          <w:rFonts w:ascii="Times New Roman" w:hAnsi="Times New Roman" w:cs="Times New Roman"/>
          <w:sz w:val="24"/>
          <w:szCs w:val="24"/>
        </w:rPr>
      </w:pPr>
      <w:r>
        <w:rPr>
          <w:rFonts w:ascii="Times New Roman" w:hAnsi="Times New Roman" w:cs="Times New Roman"/>
          <w:sz w:val="24"/>
          <w:szCs w:val="24"/>
        </w:rPr>
        <w:t>Један од значајних фактора који олакшавају учешће понуђачима у поступцима јавних набавки јесте смањивање ад</w:t>
      </w:r>
      <w:r w:rsidR="000A277D">
        <w:rPr>
          <w:rFonts w:ascii="Times New Roman" w:hAnsi="Times New Roman" w:cs="Times New Roman"/>
          <w:sz w:val="24"/>
          <w:szCs w:val="24"/>
        </w:rPr>
        <w:t>министративног терета и трошка</w:t>
      </w:r>
      <w:r w:rsidR="000A277D">
        <w:rPr>
          <w:rFonts w:ascii="Times New Roman" w:hAnsi="Times New Roman" w:cs="Times New Roman"/>
          <w:sz w:val="24"/>
          <w:szCs w:val="24"/>
          <w:lang w:val="sr-Cyrl-RS"/>
        </w:rPr>
        <w:t xml:space="preserve">, и то </w:t>
      </w:r>
      <w:r w:rsidR="000A277D">
        <w:rPr>
          <w:rFonts w:ascii="Times New Roman" w:hAnsi="Times New Roman" w:cs="Times New Roman"/>
          <w:sz w:val="24"/>
          <w:szCs w:val="24"/>
        </w:rPr>
        <w:t>како времена тако и новца</w:t>
      </w:r>
      <w:r w:rsidR="000A277D">
        <w:rPr>
          <w:rFonts w:ascii="Times New Roman" w:hAnsi="Times New Roman" w:cs="Times New Roman"/>
          <w:sz w:val="24"/>
          <w:szCs w:val="24"/>
          <w:lang w:val="sr-Cyrl-RS"/>
        </w:rPr>
        <w:t>. Дакле, с</w:t>
      </w:r>
      <w:r>
        <w:rPr>
          <w:rFonts w:ascii="Times New Roman" w:hAnsi="Times New Roman" w:cs="Times New Roman"/>
          <w:sz w:val="24"/>
          <w:szCs w:val="24"/>
        </w:rPr>
        <w:t xml:space="preserve">мањивање овог оптерећења </w:t>
      </w:r>
      <w:r w:rsidR="000A277D">
        <w:rPr>
          <w:rFonts w:ascii="Times New Roman" w:hAnsi="Times New Roman" w:cs="Times New Roman"/>
          <w:sz w:val="24"/>
          <w:szCs w:val="24"/>
          <w:lang w:val="sr-Cyrl-RS"/>
        </w:rPr>
        <w:t xml:space="preserve">треба да </w:t>
      </w:r>
      <w:r>
        <w:rPr>
          <w:rFonts w:ascii="Times New Roman" w:hAnsi="Times New Roman" w:cs="Times New Roman"/>
          <w:sz w:val="24"/>
          <w:szCs w:val="24"/>
        </w:rPr>
        <w:t>делује подстицајно на понуђач</w:t>
      </w:r>
      <w:r w:rsidR="000A277D">
        <w:rPr>
          <w:rFonts w:ascii="Times New Roman" w:hAnsi="Times New Roman" w:cs="Times New Roman"/>
          <w:sz w:val="24"/>
          <w:szCs w:val="24"/>
          <w:lang w:val="sr-Cyrl-RS"/>
        </w:rPr>
        <w:t>е, а самим тим и на јачање конку</w:t>
      </w:r>
      <w:r>
        <w:rPr>
          <w:rFonts w:ascii="Times New Roman" w:hAnsi="Times New Roman" w:cs="Times New Roman"/>
          <w:sz w:val="24"/>
          <w:szCs w:val="24"/>
        </w:rPr>
        <w:t xml:space="preserve">ренцију. </w:t>
      </w:r>
    </w:p>
    <w:p w:rsidR="00830FC5" w:rsidRDefault="00326D82" w:rsidP="007B4B66">
      <w:pPr>
        <w:jc w:val="both"/>
        <w:rPr>
          <w:rFonts w:ascii="Times New Roman" w:hAnsi="Times New Roman" w:cs="Times New Roman"/>
          <w:sz w:val="24"/>
          <w:szCs w:val="24"/>
        </w:rPr>
      </w:pPr>
      <w:r>
        <w:rPr>
          <w:rFonts w:ascii="Times New Roman" w:hAnsi="Times New Roman" w:cs="Times New Roman"/>
          <w:sz w:val="24"/>
          <w:szCs w:val="24"/>
        </w:rPr>
        <w:t>Важећим Законом превиђено је да понуђачи могу да доставе доказе о испуњености обавезних услова из члана 75, став</w:t>
      </w:r>
      <w:r w:rsidR="00C61911">
        <w:rPr>
          <w:rFonts w:ascii="Times New Roman" w:hAnsi="Times New Roman" w:cs="Times New Roman"/>
          <w:sz w:val="24"/>
          <w:szCs w:val="24"/>
        </w:rPr>
        <w:t xml:space="preserve"> 1</w:t>
      </w:r>
      <w:r>
        <w:rPr>
          <w:rFonts w:ascii="Times New Roman" w:hAnsi="Times New Roman" w:cs="Times New Roman"/>
          <w:sz w:val="24"/>
          <w:szCs w:val="24"/>
        </w:rPr>
        <w:t>, тачке 1-</w:t>
      </w:r>
      <w:r w:rsidR="00E1117C">
        <w:rPr>
          <w:rFonts w:ascii="Times New Roman" w:hAnsi="Times New Roman" w:cs="Times New Roman"/>
          <w:sz w:val="24"/>
          <w:szCs w:val="24"/>
          <w:lang w:val="sr-Cyrl-RS"/>
        </w:rPr>
        <w:t xml:space="preserve"> </w:t>
      </w:r>
      <w:r>
        <w:rPr>
          <w:rFonts w:ascii="Times New Roman" w:hAnsi="Times New Roman" w:cs="Times New Roman"/>
          <w:sz w:val="24"/>
          <w:szCs w:val="24"/>
        </w:rPr>
        <w:t>4</w:t>
      </w:r>
      <w:r w:rsidR="00D2757B">
        <w:rPr>
          <w:rFonts w:ascii="Times New Roman" w:hAnsi="Times New Roman" w:cs="Times New Roman"/>
          <w:sz w:val="24"/>
          <w:szCs w:val="24"/>
        </w:rPr>
        <w:t>,</w:t>
      </w:r>
      <w:r>
        <w:rPr>
          <w:rFonts w:ascii="Times New Roman" w:hAnsi="Times New Roman" w:cs="Times New Roman"/>
          <w:sz w:val="24"/>
          <w:szCs w:val="24"/>
        </w:rPr>
        <w:t xml:space="preserve"> Агенцији за привредне регистре (АПР) на основу којих их </w:t>
      </w:r>
      <w:r w:rsidR="00D2757B">
        <w:rPr>
          <w:rFonts w:ascii="Times New Roman" w:hAnsi="Times New Roman" w:cs="Times New Roman"/>
          <w:sz w:val="24"/>
          <w:szCs w:val="24"/>
        </w:rPr>
        <w:t>АПР уписује у Р</w:t>
      </w:r>
      <w:r>
        <w:rPr>
          <w:rFonts w:ascii="Times New Roman" w:hAnsi="Times New Roman" w:cs="Times New Roman"/>
          <w:sz w:val="24"/>
          <w:szCs w:val="24"/>
        </w:rPr>
        <w:t xml:space="preserve">егистар понуђача. Понуђачи који су уписани у Регистар, уместо да за сваки поступак јавне набавке прибављају доказе о испуњености ова четири </w:t>
      </w:r>
      <w:r w:rsidR="00830FC5">
        <w:rPr>
          <w:rFonts w:ascii="Times New Roman" w:hAnsi="Times New Roman" w:cs="Times New Roman"/>
          <w:sz w:val="24"/>
          <w:szCs w:val="24"/>
        </w:rPr>
        <w:t xml:space="preserve">обавезна </w:t>
      </w:r>
      <w:r>
        <w:rPr>
          <w:rFonts w:ascii="Times New Roman" w:hAnsi="Times New Roman" w:cs="Times New Roman"/>
          <w:sz w:val="24"/>
          <w:szCs w:val="24"/>
        </w:rPr>
        <w:t xml:space="preserve">услова, </w:t>
      </w:r>
      <w:r w:rsidR="00830FC5">
        <w:rPr>
          <w:rFonts w:ascii="Times New Roman" w:hAnsi="Times New Roman" w:cs="Times New Roman"/>
          <w:sz w:val="24"/>
          <w:szCs w:val="24"/>
        </w:rPr>
        <w:t xml:space="preserve">треба само да у поднесеној понуди наведу </w:t>
      </w:r>
      <w:r>
        <w:rPr>
          <w:rFonts w:ascii="Times New Roman" w:hAnsi="Times New Roman" w:cs="Times New Roman"/>
          <w:sz w:val="24"/>
          <w:szCs w:val="24"/>
        </w:rPr>
        <w:t xml:space="preserve">да су уписани у </w:t>
      </w:r>
      <w:r w:rsidR="001B30C0">
        <w:rPr>
          <w:rFonts w:ascii="Times New Roman" w:hAnsi="Times New Roman" w:cs="Times New Roman"/>
          <w:sz w:val="24"/>
          <w:szCs w:val="24"/>
          <w:lang w:val="sr-Cyrl-RS"/>
        </w:rPr>
        <w:t>исти</w:t>
      </w:r>
      <w:r>
        <w:rPr>
          <w:rFonts w:ascii="Times New Roman" w:hAnsi="Times New Roman" w:cs="Times New Roman"/>
          <w:sz w:val="24"/>
          <w:szCs w:val="24"/>
        </w:rPr>
        <w:t xml:space="preserve">, како би наручилац </w:t>
      </w:r>
      <w:r w:rsidR="001B30C0">
        <w:rPr>
          <w:rFonts w:ascii="Times New Roman" w:hAnsi="Times New Roman" w:cs="Times New Roman"/>
          <w:sz w:val="24"/>
          <w:szCs w:val="24"/>
          <w:lang w:val="sr-Cyrl-RS"/>
        </w:rPr>
        <w:t xml:space="preserve">тај навод </w:t>
      </w:r>
      <w:r>
        <w:rPr>
          <w:rFonts w:ascii="Times New Roman" w:hAnsi="Times New Roman" w:cs="Times New Roman"/>
          <w:sz w:val="24"/>
          <w:szCs w:val="24"/>
        </w:rPr>
        <w:t xml:space="preserve">могао </w:t>
      </w:r>
      <w:r w:rsidR="00DF1D0B">
        <w:rPr>
          <w:rFonts w:ascii="Times New Roman" w:hAnsi="Times New Roman" w:cs="Times New Roman"/>
          <w:sz w:val="24"/>
          <w:szCs w:val="24"/>
          <w:lang w:val="sr-Cyrl-RS"/>
        </w:rPr>
        <w:t xml:space="preserve">и </w:t>
      </w:r>
      <w:r>
        <w:rPr>
          <w:rFonts w:ascii="Times New Roman" w:hAnsi="Times New Roman" w:cs="Times New Roman"/>
          <w:sz w:val="24"/>
          <w:szCs w:val="24"/>
        </w:rPr>
        <w:t xml:space="preserve">да провери. </w:t>
      </w:r>
      <w:r w:rsidR="00830FC5">
        <w:rPr>
          <w:rFonts w:ascii="Times New Roman" w:hAnsi="Times New Roman" w:cs="Times New Roman"/>
          <w:sz w:val="24"/>
          <w:szCs w:val="24"/>
        </w:rPr>
        <w:t xml:space="preserve">На тај начин се понуђачи ослобађају обавезе да за сваки поступак </w:t>
      </w:r>
      <w:r w:rsidR="00D2757B">
        <w:rPr>
          <w:rFonts w:ascii="Times New Roman" w:hAnsi="Times New Roman" w:cs="Times New Roman"/>
          <w:sz w:val="24"/>
          <w:szCs w:val="24"/>
        </w:rPr>
        <w:t xml:space="preserve">јавне набавке </w:t>
      </w:r>
      <w:r w:rsidR="00830FC5">
        <w:rPr>
          <w:rFonts w:ascii="Times New Roman" w:hAnsi="Times New Roman" w:cs="Times New Roman"/>
          <w:sz w:val="24"/>
          <w:szCs w:val="24"/>
        </w:rPr>
        <w:t xml:space="preserve">прибављају доказе </w:t>
      </w:r>
      <w:r w:rsidR="00D2757B">
        <w:rPr>
          <w:rFonts w:ascii="Times New Roman" w:hAnsi="Times New Roman" w:cs="Times New Roman"/>
          <w:sz w:val="24"/>
          <w:szCs w:val="24"/>
        </w:rPr>
        <w:t xml:space="preserve">о испуњености поменута четири обавезна услова, </w:t>
      </w:r>
      <w:r w:rsidR="00830FC5">
        <w:rPr>
          <w:rFonts w:ascii="Times New Roman" w:hAnsi="Times New Roman" w:cs="Times New Roman"/>
          <w:sz w:val="24"/>
          <w:szCs w:val="24"/>
        </w:rPr>
        <w:t xml:space="preserve">што је посебно корисно за </w:t>
      </w:r>
      <w:r w:rsidR="00C52784">
        <w:rPr>
          <w:rFonts w:ascii="Times New Roman" w:hAnsi="Times New Roman" w:cs="Times New Roman"/>
          <w:sz w:val="24"/>
          <w:szCs w:val="24"/>
          <w:lang w:val="sr-Cyrl-RS"/>
        </w:rPr>
        <w:t xml:space="preserve">оне </w:t>
      </w:r>
      <w:r w:rsidR="00830FC5">
        <w:rPr>
          <w:rFonts w:ascii="Times New Roman" w:hAnsi="Times New Roman" w:cs="Times New Roman"/>
          <w:sz w:val="24"/>
          <w:szCs w:val="24"/>
        </w:rPr>
        <w:t>наручиоце</w:t>
      </w:r>
      <w:r w:rsidR="00151C94">
        <w:rPr>
          <w:rFonts w:ascii="Times New Roman" w:hAnsi="Times New Roman" w:cs="Times New Roman"/>
          <w:sz w:val="24"/>
          <w:szCs w:val="24"/>
        </w:rPr>
        <w:t xml:space="preserve"> и понуђаче</w:t>
      </w:r>
      <w:r w:rsidR="00830FC5">
        <w:rPr>
          <w:rFonts w:ascii="Times New Roman" w:hAnsi="Times New Roman" w:cs="Times New Roman"/>
          <w:sz w:val="24"/>
          <w:szCs w:val="24"/>
        </w:rPr>
        <w:t xml:space="preserve"> који учествују у већем броју поступака</w:t>
      </w:r>
      <w:r w:rsidR="00D2757B">
        <w:rPr>
          <w:rFonts w:ascii="Times New Roman" w:hAnsi="Times New Roman" w:cs="Times New Roman"/>
          <w:sz w:val="24"/>
          <w:szCs w:val="24"/>
        </w:rPr>
        <w:t xml:space="preserve"> и који, на овај начин, штед</w:t>
      </w:r>
      <w:r w:rsidR="00BA798F">
        <w:rPr>
          <w:rFonts w:ascii="Times New Roman" w:hAnsi="Times New Roman" w:cs="Times New Roman"/>
          <w:sz w:val="24"/>
          <w:szCs w:val="24"/>
          <w:lang w:val="sr-Cyrl-RS"/>
        </w:rPr>
        <w:t>е</w:t>
      </w:r>
      <w:r w:rsidR="00D2757B">
        <w:rPr>
          <w:rFonts w:ascii="Times New Roman" w:hAnsi="Times New Roman" w:cs="Times New Roman"/>
          <w:sz w:val="24"/>
          <w:szCs w:val="24"/>
        </w:rPr>
        <w:t xml:space="preserve"> доста времена и новца. </w:t>
      </w:r>
    </w:p>
    <w:p w:rsidR="00707351" w:rsidRPr="001B30C0" w:rsidRDefault="00E9515B" w:rsidP="00C469B9">
      <w:pPr>
        <w:jc w:val="both"/>
        <w:rPr>
          <w:rFonts w:ascii="Times New Roman" w:hAnsi="Times New Roman" w:cs="Times New Roman"/>
          <w:sz w:val="24"/>
          <w:szCs w:val="24"/>
          <w:lang w:val="sr-Cyrl-RS"/>
        </w:rPr>
      </w:pPr>
      <w:r w:rsidRPr="00AD1811">
        <w:rPr>
          <w:rFonts w:ascii="Times New Roman" w:hAnsi="Times New Roman" w:cs="Times New Roman"/>
          <w:sz w:val="24"/>
          <w:szCs w:val="24"/>
        </w:rPr>
        <w:t xml:space="preserve">Регистар понуђача почео је са радом 1. </w:t>
      </w:r>
      <w:r>
        <w:rPr>
          <w:rFonts w:ascii="Times New Roman" w:hAnsi="Times New Roman" w:cs="Times New Roman"/>
          <w:sz w:val="24"/>
          <w:szCs w:val="24"/>
        </w:rPr>
        <w:t>с</w:t>
      </w:r>
      <w:r w:rsidRPr="00AD1811">
        <w:rPr>
          <w:rFonts w:ascii="Times New Roman" w:hAnsi="Times New Roman" w:cs="Times New Roman"/>
          <w:sz w:val="24"/>
          <w:szCs w:val="24"/>
        </w:rPr>
        <w:t>ептембра</w:t>
      </w:r>
      <w:r>
        <w:rPr>
          <w:rFonts w:ascii="Times New Roman" w:hAnsi="Times New Roman" w:cs="Times New Roman"/>
          <w:sz w:val="24"/>
          <w:szCs w:val="24"/>
        </w:rPr>
        <w:t xml:space="preserve"> 2013. године </w:t>
      </w:r>
      <w:r w:rsidRPr="00AD1811">
        <w:rPr>
          <w:rFonts w:ascii="Times New Roman" w:hAnsi="Times New Roman" w:cs="Times New Roman"/>
          <w:sz w:val="24"/>
          <w:szCs w:val="24"/>
        </w:rPr>
        <w:t>и</w:t>
      </w:r>
      <w:r>
        <w:rPr>
          <w:rFonts w:ascii="Times New Roman" w:hAnsi="Times New Roman" w:cs="Times New Roman"/>
          <w:sz w:val="24"/>
          <w:szCs w:val="24"/>
        </w:rPr>
        <w:t xml:space="preserve"> води га </w:t>
      </w:r>
      <w:r w:rsidR="00BD496A">
        <w:rPr>
          <w:rFonts w:ascii="Times New Roman" w:hAnsi="Times New Roman" w:cs="Times New Roman"/>
          <w:sz w:val="24"/>
          <w:szCs w:val="24"/>
          <w:lang w:val="sr-Cyrl-RS"/>
        </w:rPr>
        <w:t>АПР, а о</w:t>
      </w:r>
      <w:r w:rsidRPr="00AD1811">
        <w:rPr>
          <w:rFonts w:ascii="Times New Roman" w:hAnsi="Times New Roman" w:cs="Times New Roman"/>
          <w:sz w:val="24"/>
          <w:szCs w:val="24"/>
        </w:rPr>
        <w:t xml:space="preserve"> томе колико је Регистар користан понуђачима сведочи њихово велико</w:t>
      </w:r>
      <w:r w:rsidR="00BD496A">
        <w:rPr>
          <w:rFonts w:ascii="Times New Roman" w:hAnsi="Times New Roman" w:cs="Times New Roman"/>
          <w:sz w:val="24"/>
          <w:szCs w:val="24"/>
          <w:lang w:val="sr-Cyrl-RS"/>
        </w:rPr>
        <w:t>, и у сталном порасту</w:t>
      </w:r>
      <w:r w:rsidRPr="00AD1811">
        <w:rPr>
          <w:rFonts w:ascii="Times New Roman" w:hAnsi="Times New Roman" w:cs="Times New Roman"/>
          <w:sz w:val="24"/>
          <w:szCs w:val="24"/>
        </w:rPr>
        <w:t xml:space="preserve"> интересовање </w:t>
      </w:r>
      <w:r w:rsidR="001B30C0">
        <w:rPr>
          <w:rFonts w:ascii="Times New Roman" w:hAnsi="Times New Roman" w:cs="Times New Roman"/>
          <w:sz w:val="24"/>
          <w:szCs w:val="24"/>
          <w:lang w:val="sr-Cyrl-RS"/>
        </w:rPr>
        <w:t>за упис у исти.</w:t>
      </w:r>
    </w:p>
    <w:p w:rsidR="00C469B9" w:rsidRPr="00AC4222" w:rsidRDefault="00786677" w:rsidP="007B4B66">
      <w:pPr>
        <w:jc w:val="both"/>
        <w:rPr>
          <w:rFonts w:ascii="Times New Roman" w:hAnsi="Times New Roman" w:cs="Times New Roman"/>
          <w:sz w:val="24"/>
          <w:szCs w:val="24"/>
          <w:lang w:val="sr-Cyrl-RS"/>
        </w:rPr>
      </w:pPr>
      <w:r w:rsidRPr="00D40559">
        <w:rPr>
          <w:rFonts w:ascii="Times New Roman" w:hAnsi="Times New Roman" w:cs="Times New Roman"/>
          <w:sz w:val="24"/>
          <w:szCs w:val="24"/>
        </w:rPr>
        <w:t>До 1. септембра 2014. године, регистровано је 4.378</w:t>
      </w:r>
      <w:r>
        <w:rPr>
          <w:rFonts w:ascii="Times New Roman" w:hAnsi="Times New Roman" w:cs="Times New Roman"/>
          <w:sz w:val="24"/>
          <w:szCs w:val="24"/>
        </w:rPr>
        <w:t xml:space="preserve"> понуђача</w:t>
      </w:r>
      <w:r w:rsidRPr="00D40559">
        <w:rPr>
          <w:rFonts w:ascii="Times New Roman" w:hAnsi="Times New Roman" w:cs="Times New Roman"/>
          <w:sz w:val="24"/>
          <w:szCs w:val="24"/>
        </w:rPr>
        <w:t xml:space="preserve">, с тим да је </w:t>
      </w:r>
      <w:r>
        <w:rPr>
          <w:rFonts w:ascii="Times New Roman" w:hAnsi="Times New Roman" w:cs="Times New Roman"/>
          <w:sz w:val="24"/>
          <w:szCs w:val="24"/>
        </w:rPr>
        <w:t xml:space="preserve">њихов </w:t>
      </w:r>
      <w:r w:rsidRPr="00D40559">
        <w:rPr>
          <w:rFonts w:ascii="Times New Roman" w:hAnsi="Times New Roman" w:cs="Times New Roman"/>
          <w:sz w:val="24"/>
          <w:szCs w:val="24"/>
        </w:rPr>
        <w:t>број растао из месеца у месец што јасно показује како понуђачи оцењују корисност</w:t>
      </w:r>
      <w:r>
        <w:rPr>
          <w:rFonts w:ascii="Times New Roman" w:hAnsi="Times New Roman" w:cs="Times New Roman"/>
          <w:sz w:val="24"/>
          <w:szCs w:val="24"/>
        </w:rPr>
        <w:t xml:space="preserve"> </w:t>
      </w:r>
      <w:r w:rsidR="00B50CAD">
        <w:rPr>
          <w:rFonts w:ascii="Times New Roman" w:hAnsi="Times New Roman" w:cs="Times New Roman"/>
          <w:sz w:val="24"/>
          <w:szCs w:val="24"/>
          <w:lang w:val="sr-Cyrl-RS"/>
        </w:rPr>
        <w:t xml:space="preserve">наведеног </w:t>
      </w:r>
      <w:r>
        <w:rPr>
          <w:rFonts w:ascii="Times New Roman" w:hAnsi="Times New Roman" w:cs="Times New Roman"/>
          <w:sz w:val="24"/>
          <w:szCs w:val="24"/>
        </w:rPr>
        <w:t>Регистра</w:t>
      </w:r>
      <w:r w:rsidRPr="00D40559">
        <w:rPr>
          <w:rFonts w:ascii="Times New Roman" w:hAnsi="Times New Roman" w:cs="Times New Roman"/>
          <w:sz w:val="24"/>
          <w:szCs w:val="24"/>
        </w:rPr>
        <w:t>, имајући у виду да у</w:t>
      </w:r>
      <w:r w:rsidR="00AC4222">
        <w:rPr>
          <w:rFonts w:ascii="Times New Roman" w:hAnsi="Times New Roman" w:cs="Times New Roman"/>
          <w:sz w:val="24"/>
          <w:szCs w:val="24"/>
        </w:rPr>
        <w:t xml:space="preserve">пис у </w:t>
      </w:r>
      <w:r w:rsidR="00B50CAD">
        <w:rPr>
          <w:rFonts w:ascii="Times New Roman" w:hAnsi="Times New Roman" w:cs="Times New Roman"/>
          <w:sz w:val="24"/>
          <w:szCs w:val="24"/>
          <w:lang w:val="sr-Cyrl-RS"/>
        </w:rPr>
        <w:t>исти</w:t>
      </w:r>
      <w:r w:rsidR="00AC4222">
        <w:rPr>
          <w:rFonts w:ascii="Times New Roman" w:hAnsi="Times New Roman" w:cs="Times New Roman"/>
          <w:sz w:val="24"/>
          <w:szCs w:val="24"/>
        </w:rPr>
        <w:t xml:space="preserve"> није обавезан.  </w:t>
      </w:r>
    </w:p>
    <w:p w:rsidR="0090382C" w:rsidRPr="00CC5D30" w:rsidRDefault="00B63848" w:rsidP="00CC5D30">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ПОРТАЛ</w:t>
      </w:r>
      <w:r>
        <w:rPr>
          <w:rFonts w:ascii="Times New Roman" w:hAnsi="Times New Roman" w:cs="Times New Roman"/>
          <w:b/>
          <w:sz w:val="24"/>
          <w:szCs w:val="24"/>
          <w:lang w:val="sr-Cyrl-RS"/>
        </w:rPr>
        <w:t xml:space="preserve"> </w:t>
      </w:r>
      <w:r w:rsidR="0090382C" w:rsidRPr="00CC5D30">
        <w:rPr>
          <w:rFonts w:ascii="Times New Roman" w:hAnsi="Times New Roman" w:cs="Times New Roman"/>
          <w:b/>
          <w:sz w:val="24"/>
          <w:szCs w:val="24"/>
        </w:rPr>
        <w:t>ЈАВНИХ НАБАВКИ</w:t>
      </w:r>
    </w:p>
    <w:p w:rsidR="006E087E" w:rsidRPr="002C5D8C" w:rsidRDefault="006E087E" w:rsidP="006E087E">
      <w:pPr>
        <w:jc w:val="both"/>
        <w:rPr>
          <w:rFonts w:ascii="Times New Roman" w:hAnsi="Times New Roman" w:cs="Times New Roman"/>
          <w:sz w:val="24"/>
          <w:szCs w:val="24"/>
        </w:rPr>
      </w:pPr>
      <w:r w:rsidRPr="002C5D8C">
        <w:rPr>
          <w:rFonts w:ascii="Times New Roman" w:hAnsi="Times New Roman" w:cs="Times New Roman"/>
          <w:sz w:val="24"/>
          <w:szCs w:val="24"/>
        </w:rPr>
        <w:t>Новим Законом уведене су значајне измене на Порталу јавних набавки</w:t>
      </w:r>
      <w:r w:rsidR="00B6736B">
        <w:rPr>
          <w:rFonts w:ascii="Times New Roman" w:hAnsi="Times New Roman" w:cs="Times New Roman"/>
          <w:sz w:val="24"/>
          <w:szCs w:val="24"/>
          <w:lang w:val="sr-Cyrl-RS"/>
        </w:rPr>
        <w:t xml:space="preserve"> (Портал)</w:t>
      </w:r>
      <w:r w:rsidRPr="002C5D8C">
        <w:rPr>
          <w:rFonts w:ascii="Times New Roman" w:hAnsi="Times New Roman" w:cs="Times New Roman"/>
          <w:sz w:val="24"/>
          <w:szCs w:val="24"/>
        </w:rPr>
        <w:t xml:space="preserve">. Пре свега, прописана је обавезна објава конкурсне документације коју понуђачи, али и остали заинтересовани могу преузети без накнаде. Увођењем обавезне објаве јавних набавки мале вредности, </w:t>
      </w:r>
      <w:r w:rsidR="00C469B9">
        <w:rPr>
          <w:rFonts w:ascii="Times New Roman" w:hAnsi="Times New Roman" w:cs="Times New Roman"/>
          <w:sz w:val="24"/>
          <w:szCs w:val="24"/>
        </w:rPr>
        <w:t>знатно</w:t>
      </w:r>
      <w:r w:rsidRPr="002C5D8C">
        <w:rPr>
          <w:rFonts w:ascii="Times New Roman" w:hAnsi="Times New Roman" w:cs="Times New Roman"/>
          <w:sz w:val="24"/>
          <w:szCs w:val="24"/>
        </w:rPr>
        <w:t xml:space="preserve"> се унапредила транспарентност поступака. Такође, изузетно је значајно и прописивање објављивања обавештења о покретању преговарачког поступка без објаве, како би се јавност што више информисала о овим најмање транспарентним поступцима, где се уобичајено крије и највећи број нерегуларности.</w:t>
      </w:r>
    </w:p>
    <w:p w:rsidR="006E087E" w:rsidRPr="002C5D8C" w:rsidRDefault="006E087E" w:rsidP="006E087E">
      <w:pPr>
        <w:jc w:val="both"/>
        <w:rPr>
          <w:rFonts w:ascii="Times New Roman" w:hAnsi="Times New Roman" w:cs="Times New Roman"/>
          <w:sz w:val="24"/>
          <w:szCs w:val="24"/>
        </w:rPr>
      </w:pPr>
      <w:r w:rsidRPr="002C5D8C">
        <w:rPr>
          <w:rFonts w:ascii="Times New Roman" w:hAnsi="Times New Roman" w:cs="Times New Roman"/>
          <w:sz w:val="24"/>
          <w:szCs w:val="24"/>
        </w:rPr>
        <w:t>Посебно су значајне новине по питању унапређења система претраге објављених набавки на Порталу, чиме се знатно олакшава понуђачима да пронађу набавку за коју су заинтересовани. У том смислу, уведена је п</w:t>
      </w:r>
      <w:r w:rsidR="008844FD">
        <w:rPr>
          <w:rFonts w:ascii="Times New Roman" w:hAnsi="Times New Roman" w:cs="Times New Roman"/>
          <w:sz w:val="24"/>
          <w:szCs w:val="24"/>
        </w:rPr>
        <w:t>ретрага „последњих 100 набавки“</w:t>
      </w:r>
      <w:r w:rsidR="00AC4222">
        <w:rPr>
          <w:rFonts w:ascii="Times New Roman" w:hAnsi="Times New Roman" w:cs="Times New Roman"/>
          <w:sz w:val="24"/>
          <w:szCs w:val="24"/>
          <w:lang w:val="sr-Cyrl-RS"/>
        </w:rPr>
        <w:t xml:space="preserve"> </w:t>
      </w:r>
      <w:r w:rsidR="008844FD">
        <w:rPr>
          <w:rFonts w:ascii="Times New Roman" w:hAnsi="Times New Roman" w:cs="Times New Roman"/>
          <w:sz w:val="24"/>
          <w:szCs w:val="24"/>
        </w:rPr>
        <w:t>захв</w:t>
      </w:r>
      <w:r w:rsidR="00AC4222">
        <w:rPr>
          <w:rFonts w:ascii="Times New Roman" w:hAnsi="Times New Roman" w:cs="Times New Roman"/>
          <w:sz w:val="24"/>
          <w:szCs w:val="24"/>
          <w:lang w:val="sr-Cyrl-RS"/>
        </w:rPr>
        <w:t>а</w:t>
      </w:r>
      <w:r w:rsidR="008844FD">
        <w:rPr>
          <w:rFonts w:ascii="Times New Roman" w:hAnsi="Times New Roman" w:cs="Times New Roman"/>
          <w:sz w:val="24"/>
          <w:szCs w:val="24"/>
        </w:rPr>
        <w:t>љујући којој</w:t>
      </w:r>
      <w:r w:rsidRPr="002C5D8C">
        <w:rPr>
          <w:rFonts w:ascii="Times New Roman" w:hAnsi="Times New Roman" w:cs="Times New Roman"/>
          <w:sz w:val="24"/>
          <w:szCs w:val="24"/>
        </w:rPr>
        <w:t xml:space="preserve"> се повећала  ажурност у праћењу дневно  објављених тендера, а поготово је значајна обавеза наручилаца да своје набавке оглашавају преко шифара из општег речника набавки, чиме се на јединствен и препознатљив  начин дефинишу предмети уговора о јавној набавци.</w:t>
      </w:r>
    </w:p>
    <w:p w:rsidR="006E087E" w:rsidRPr="002C5D8C" w:rsidRDefault="006E087E" w:rsidP="006E087E">
      <w:pPr>
        <w:jc w:val="both"/>
        <w:rPr>
          <w:rFonts w:ascii="Times New Roman" w:hAnsi="Times New Roman" w:cs="Times New Roman"/>
          <w:sz w:val="24"/>
          <w:szCs w:val="24"/>
        </w:rPr>
      </w:pPr>
      <w:r w:rsidRPr="002C5D8C">
        <w:rPr>
          <w:rFonts w:ascii="Times New Roman" w:hAnsi="Times New Roman" w:cs="Times New Roman"/>
          <w:sz w:val="24"/>
          <w:szCs w:val="24"/>
        </w:rPr>
        <w:t>Када је реч о претрази закључених уговора из кварталних извештаја наручилаца које Управа објављује на Порталу, значајна је предност што се сада по сваком податку из уговора може вршити претрага од стране заинтересованих лица (наручилац, понуђач, датум, шифра из општег речника набавки, вредност уговора....).</w:t>
      </w:r>
    </w:p>
    <w:p w:rsidR="00A34158" w:rsidRPr="00FE35A5" w:rsidRDefault="006E087E" w:rsidP="00FE35A5">
      <w:pPr>
        <w:jc w:val="both"/>
        <w:rPr>
          <w:rFonts w:ascii="Times New Roman" w:hAnsi="Times New Roman" w:cs="Times New Roman"/>
          <w:sz w:val="24"/>
          <w:szCs w:val="24"/>
        </w:rPr>
      </w:pPr>
      <w:r w:rsidRPr="002C5D8C">
        <w:rPr>
          <w:rFonts w:ascii="Times New Roman" w:hAnsi="Times New Roman" w:cs="Times New Roman"/>
          <w:sz w:val="24"/>
          <w:szCs w:val="24"/>
        </w:rPr>
        <w:t>Број јавни</w:t>
      </w:r>
      <w:r w:rsidR="00345AA6">
        <w:rPr>
          <w:rFonts w:ascii="Times New Roman" w:hAnsi="Times New Roman" w:cs="Times New Roman"/>
          <w:sz w:val="24"/>
          <w:szCs w:val="24"/>
        </w:rPr>
        <w:t xml:space="preserve">х набавки оглашених на Порталу </w:t>
      </w:r>
      <w:r w:rsidR="00CF1F3D">
        <w:rPr>
          <w:rFonts w:ascii="Times New Roman" w:hAnsi="Times New Roman" w:cs="Times New Roman"/>
          <w:sz w:val="24"/>
          <w:szCs w:val="24"/>
        </w:rPr>
        <w:t>знатно</w:t>
      </w:r>
      <w:r w:rsidR="00345AA6">
        <w:rPr>
          <w:rFonts w:ascii="Times New Roman" w:hAnsi="Times New Roman" w:cs="Times New Roman"/>
          <w:sz w:val="24"/>
          <w:szCs w:val="24"/>
        </w:rPr>
        <w:t xml:space="preserve"> се </w:t>
      </w:r>
      <w:r w:rsidRPr="002C5D8C">
        <w:rPr>
          <w:rFonts w:ascii="Times New Roman" w:hAnsi="Times New Roman" w:cs="Times New Roman"/>
          <w:sz w:val="24"/>
          <w:szCs w:val="24"/>
        </w:rPr>
        <w:t>повећавао од почетка његовог рада</w:t>
      </w:r>
      <w:r w:rsidR="002E28CE">
        <w:rPr>
          <w:rFonts w:ascii="Times New Roman" w:hAnsi="Times New Roman" w:cs="Times New Roman"/>
          <w:sz w:val="24"/>
          <w:szCs w:val="24"/>
          <w:lang w:val="sr-Cyrl-RS"/>
        </w:rPr>
        <w:t>,</w:t>
      </w:r>
      <w:r w:rsidRPr="002C5D8C">
        <w:rPr>
          <w:rFonts w:ascii="Times New Roman" w:hAnsi="Times New Roman" w:cs="Times New Roman"/>
          <w:sz w:val="24"/>
          <w:szCs w:val="24"/>
        </w:rPr>
        <w:t xml:space="preserve"> чиме је значајно порасла транспарентност јавних набавки у Србији, с обзиром да се на једном месту </w:t>
      </w:r>
      <w:r w:rsidR="002E28CE">
        <w:rPr>
          <w:rFonts w:ascii="Times New Roman" w:hAnsi="Times New Roman" w:cs="Times New Roman"/>
          <w:sz w:val="24"/>
          <w:szCs w:val="24"/>
          <w:lang w:val="sr-Cyrl-RS"/>
        </w:rPr>
        <w:t xml:space="preserve">сада </w:t>
      </w:r>
      <w:r w:rsidRPr="002C5D8C">
        <w:rPr>
          <w:rFonts w:ascii="Times New Roman" w:hAnsi="Times New Roman" w:cs="Times New Roman"/>
          <w:sz w:val="24"/>
          <w:szCs w:val="24"/>
        </w:rPr>
        <w:t xml:space="preserve">могу </w:t>
      </w:r>
      <w:r w:rsidRPr="002C5D8C">
        <w:rPr>
          <w:rFonts w:ascii="Times New Roman" w:hAnsi="Times New Roman" w:cs="Times New Roman"/>
          <w:sz w:val="24"/>
          <w:szCs w:val="24"/>
        </w:rPr>
        <w:lastRenderedPageBreak/>
        <w:t>наћи све релевантне информације везане за поступак јавне набавке и да се до тих информација долази лако и без накнаде</w:t>
      </w:r>
      <w:r w:rsidR="00BB493A">
        <w:rPr>
          <w:rFonts w:ascii="Times New Roman" w:hAnsi="Times New Roman" w:cs="Times New Roman"/>
          <w:sz w:val="24"/>
          <w:szCs w:val="24"/>
          <w:lang w:val="sr-Cyrl-RS"/>
        </w:rPr>
        <w:t xml:space="preserve"> </w:t>
      </w:r>
      <w:r w:rsidR="00345AA6" w:rsidRPr="002C5D8C">
        <w:rPr>
          <w:rFonts w:ascii="Times New Roman" w:hAnsi="Times New Roman" w:cs="Times New Roman"/>
          <w:sz w:val="24"/>
          <w:szCs w:val="24"/>
        </w:rPr>
        <w:t>(Слика</w:t>
      </w:r>
      <w:r w:rsidR="0002495E">
        <w:rPr>
          <w:rFonts w:ascii="Times New Roman" w:hAnsi="Times New Roman" w:cs="Times New Roman"/>
          <w:sz w:val="24"/>
          <w:szCs w:val="24"/>
          <w:lang w:val="sr-Cyrl-RS"/>
        </w:rPr>
        <w:t xml:space="preserve"> 7</w:t>
      </w:r>
      <w:r w:rsidR="00345AA6">
        <w:rPr>
          <w:rFonts w:ascii="Times New Roman" w:hAnsi="Times New Roman" w:cs="Times New Roman"/>
          <w:sz w:val="24"/>
          <w:szCs w:val="24"/>
        </w:rPr>
        <w:t>).</w:t>
      </w:r>
    </w:p>
    <w:p w:rsidR="00F32666" w:rsidRPr="009D0486" w:rsidRDefault="00F32666" w:rsidP="00C469B9">
      <w:pPr>
        <w:jc w:val="center"/>
        <w:rPr>
          <w:rFonts w:ascii="Times New Roman" w:hAnsi="Times New Roman" w:cs="Times New Roman"/>
          <w:sz w:val="24"/>
          <w:szCs w:val="24"/>
        </w:rPr>
      </w:pPr>
      <w:r w:rsidRPr="009D0486">
        <w:rPr>
          <w:rFonts w:ascii="Times New Roman" w:hAnsi="Times New Roman" w:cs="Times New Roman"/>
          <w:b/>
          <w:sz w:val="24"/>
          <w:szCs w:val="24"/>
        </w:rPr>
        <w:t xml:space="preserve">Слика </w:t>
      </w:r>
      <w:r w:rsidR="00FE35A5" w:rsidRPr="009D0486">
        <w:rPr>
          <w:rFonts w:ascii="Times New Roman" w:hAnsi="Times New Roman" w:cs="Times New Roman"/>
          <w:b/>
          <w:sz w:val="24"/>
          <w:szCs w:val="24"/>
        </w:rPr>
        <w:t>7</w:t>
      </w:r>
    </w:p>
    <w:p w:rsidR="006E087E" w:rsidRDefault="00A34158" w:rsidP="006E087E">
      <w:pPr>
        <w:jc w:val="center"/>
        <w:rPr>
          <w:rFonts w:ascii="Times New Roman" w:hAnsi="Times New Roman" w:cs="Times New Roman"/>
          <w:sz w:val="24"/>
          <w:szCs w:val="24"/>
        </w:rPr>
      </w:pPr>
      <w:r>
        <w:rPr>
          <w:noProof/>
        </w:rPr>
        <w:drawing>
          <wp:inline distT="0" distB="0" distL="0" distR="0">
            <wp:extent cx="6858000" cy="3021209"/>
            <wp:effectExtent l="0" t="0" r="0" b="8255"/>
            <wp:docPr id="3" name="Picture 3" descr="Inline 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Inline image 1"/>
                    <pic:cNvPicPr>
                      <a:picLocks noChangeAspect="1" noChangeArrowheads="1"/>
                    </pic:cNvPicPr>
                  </pic:nvPicPr>
                  <pic:blipFill>
                    <a:blip r:embed="rId30" r:link="rId31">
                      <a:extLst>
                        <a:ext uri="{28A0092B-C50C-407E-A947-70E740481C1C}">
                          <a14:useLocalDpi xmlns:a14="http://schemas.microsoft.com/office/drawing/2010/main" val="0"/>
                        </a:ext>
                      </a:extLst>
                    </a:blip>
                    <a:srcRect/>
                    <a:stretch>
                      <a:fillRect/>
                    </a:stretch>
                  </pic:blipFill>
                  <pic:spPr bwMode="auto">
                    <a:xfrm>
                      <a:off x="0" y="0"/>
                      <a:ext cx="6858000" cy="3021209"/>
                    </a:xfrm>
                    <a:prstGeom prst="rect">
                      <a:avLst/>
                    </a:prstGeom>
                    <a:noFill/>
                    <a:ln>
                      <a:noFill/>
                    </a:ln>
                  </pic:spPr>
                </pic:pic>
              </a:graphicData>
            </a:graphic>
          </wp:inline>
        </w:drawing>
      </w:r>
    </w:p>
    <w:p w:rsidR="00FE35A5" w:rsidRDefault="00FE35A5" w:rsidP="007312E2">
      <w:pPr>
        <w:jc w:val="both"/>
        <w:rPr>
          <w:rFonts w:ascii="Times New Roman" w:hAnsi="Times New Roman" w:cs="Times New Roman"/>
          <w:sz w:val="24"/>
          <w:szCs w:val="24"/>
          <w:lang w:val="sr-Cyrl-RS"/>
        </w:rPr>
      </w:pPr>
      <w:r>
        <w:rPr>
          <w:rFonts w:ascii="Times New Roman" w:hAnsi="Times New Roman" w:cs="Times New Roman"/>
          <w:sz w:val="24"/>
          <w:szCs w:val="24"/>
        </w:rPr>
        <w:t>Кретање броја јавних набавки објављених на Порталу у првом полугодишту 2014. године,</w:t>
      </w:r>
      <w:r w:rsidR="007312E2">
        <w:rPr>
          <w:rFonts w:ascii="Times New Roman" w:hAnsi="Times New Roman" w:cs="Times New Roman"/>
          <w:sz w:val="24"/>
          <w:szCs w:val="24"/>
        </w:rPr>
        <w:t xml:space="preserve"> по кварталима, приказан је на </w:t>
      </w:r>
      <w:r w:rsidR="007312E2">
        <w:rPr>
          <w:rFonts w:ascii="Times New Roman" w:hAnsi="Times New Roman" w:cs="Times New Roman"/>
          <w:sz w:val="24"/>
          <w:szCs w:val="24"/>
          <w:lang w:val="sr-Cyrl-RS"/>
        </w:rPr>
        <w:t>С</w:t>
      </w:r>
      <w:r>
        <w:rPr>
          <w:rFonts w:ascii="Times New Roman" w:hAnsi="Times New Roman" w:cs="Times New Roman"/>
          <w:sz w:val="24"/>
          <w:szCs w:val="24"/>
        </w:rPr>
        <w:t>лици 8.</w:t>
      </w:r>
    </w:p>
    <w:p w:rsidR="00321870" w:rsidRPr="00321870" w:rsidRDefault="00321870" w:rsidP="007312E2">
      <w:pPr>
        <w:jc w:val="both"/>
        <w:rPr>
          <w:rFonts w:ascii="Times New Roman" w:hAnsi="Times New Roman" w:cs="Times New Roman"/>
          <w:sz w:val="24"/>
          <w:szCs w:val="24"/>
          <w:lang w:val="sr-Cyrl-RS"/>
        </w:rPr>
      </w:pPr>
    </w:p>
    <w:p w:rsidR="006E087E" w:rsidRPr="00C469B9" w:rsidRDefault="00C41DA4" w:rsidP="00C469B9">
      <w:pPr>
        <w:jc w:val="center"/>
        <w:rPr>
          <w:rFonts w:ascii="Times New Roman" w:hAnsi="Times New Roman" w:cs="Times New Roman"/>
          <w:b/>
          <w:sz w:val="24"/>
          <w:szCs w:val="24"/>
        </w:rPr>
      </w:pPr>
      <w:r w:rsidRPr="009D0486">
        <w:rPr>
          <w:rFonts w:ascii="Times New Roman" w:hAnsi="Times New Roman" w:cs="Times New Roman"/>
          <w:b/>
          <w:sz w:val="24"/>
          <w:szCs w:val="24"/>
        </w:rPr>
        <w:t xml:space="preserve">Слика </w:t>
      </w:r>
      <w:r w:rsidR="00FE35A5" w:rsidRPr="009D0486">
        <w:rPr>
          <w:rFonts w:ascii="Times New Roman" w:hAnsi="Times New Roman" w:cs="Times New Roman"/>
          <w:b/>
          <w:sz w:val="24"/>
          <w:szCs w:val="24"/>
        </w:rPr>
        <w:t>8</w:t>
      </w:r>
      <w:r w:rsidR="00055CB3" w:rsidRPr="009D0486">
        <w:rPr>
          <w:rFonts w:ascii="Times New Roman" w:hAnsi="Times New Roman" w:cs="Times New Roman"/>
          <w:sz w:val="24"/>
          <w:szCs w:val="24"/>
        </w:rPr>
        <w:br/>
      </w:r>
      <w:r w:rsidR="00E5716A">
        <w:rPr>
          <w:noProof/>
        </w:rPr>
        <w:object w:dxaOrig="10323" w:dyaOrig="5785">
          <v:shape id="_x0000_i1035" type="#_x0000_t75" style="width:462.55pt;height:259.45pt" o:ole="">
            <v:imagedata r:id="rId32" o:title=""/>
          </v:shape>
          <o:OLEObject Type="Embed" ProgID="Excel.Sheet.12" ShapeID="_x0000_i1035" DrawAspect="Content" ObjectID="_1471688941" r:id="rId33"/>
        </w:object>
      </w:r>
    </w:p>
    <w:p w:rsidR="00FE35A5" w:rsidRDefault="00FE35A5" w:rsidP="006E087E">
      <w:pPr>
        <w:jc w:val="both"/>
        <w:rPr>
          <w:rFonts w:ascii="Times New Roman" w:hAnsi="Times New Roman" w:cs="Times New Roman"/>
          <w:sz w:val="24"/>
          <w:szCs w:val="24"/>
        </w:rPr>
      </w:pPr>
    </w:p>
    <w:p w:rsidR="00AA0D55" w:rsidRDefault="006E087E" w:rsidP="00D16263">
      <w:pPr>
        <w:jc w:val="both"/>
        <w:rPr>
          <w:rFonts w:ascii="Times New Roman" w:hAnsi="Times New Roman" w:cs="Times New Roman"/>
          <w:b/>
          <w:color w:val="FF0000"/>
          <w:sz w:val="24"/>
          <w:szCs w:val="24"/>
        </w:rPr>
      </w:pPr>
      <w:r w:rsidRPr="002C5D8C">
        <w:rPr>
          <w:rFonts w:ascii="Times New Roman" w:hAnsi="Times New Roman" w:cs="Times New Roman"/>
          <w:sz w:val="24"/>
          <w:szCs w:val="24"/>
        </w:rPr>
        <w:lastRenderedPageBreak/>
        <w:t>Број посета Порталу значајно је порастао од 1. априла 2013. године захваљујући</w:t>
      </w:r>
      <w:r w:rsidR="007655FB">
        <w:rPr>
          <w:rFonts w:ascii="Times New Roman" w:hAnsi="Times New Roman" w:cs="Times New Roman"/>
          <w:sz w:val="24"/>
          <w:szCs w:val="24"/>
        </w:rPr>
        <w:t>,</w:t>
      </w:r>
      <w:r w:rsidRPr="002C5D8C">
        <w:rPr>
          <w:rFonts w:ascii="Times New Roman" w:hAnsi="Times New Roman" w:cs="Times New Roman"/>
          <w:sz w:val="24"/>
          <w:szCs w:val="24"/>
        </w:rPr>
        <w:t xml:space="preserve"> не само укључивању набавки мале вредности, већ и објављивању читавог низа </w:t>
      </w:r>
      <w:r w:rsidR="007655FB">
        <w:rPr>
          <w:rFonts w:ascii="Times New Roman" w:hAnsi="Times New Roman" w:cs="Times New Roman"/>
          <w:sz w:val="24"/>
          <w:szCs w:val="24"/>
        </w:rPr>
        <w:t xml:space="preserve">нових </w:t>
      </w:r>
      <w:r w:rsidRPr="002C5D8C">
        <w:rPr>
          <w:rFonts w:ascii="Times New Roman" w:hAnsi="Times New Roman" w:cs="Times New Roman"/>
          <w:sz w:val="24"/>
          <w:szCs w:val="24"/>
        </w:rPr>
        <w:t>докумената битних у поступку јавне набавке, као што су: конкурсн</w:t>
      </w:r>
      <w:r w:rsidR="007A169F">
        <w:rPr>
          <w:rFonts w:ascii="Times New Roman" w:hAnsi="Times New Roman" w:cs="Times New Roman"/>
          <w:sz w:val="24"/>
          <w:szCs w:val="24"/>
          <w:lang w:val="sr-Cyrl-RS"/>
        </w:rPr>
        <w:t>а</w:t>
      </w:r>
      <w:r w:rsidRPr="002C5D8C">
        <w:rPr>
          <w:rFonts w:ascii="Times New Roman" w:hAnsi="Times New Roman" w:cs="Times New Roman"/>
          <w:sz w:val="24"/>
          <w:szCs w:val="24"/>
        </w:rPr>
        <w:t xml:space="preserve"> документациј</w:t>
      </w:r>
      <w:r w:rsidR="007A169F">
        <w:rPr>
          <w:rFonts w:ascii="Times New Roman" w:hAnsi="Times New Roman" w:cs="Times New Roman"/>
          <w:sz w:val="24"/>
          <w:szCs w:val="24"/>
          <w:lang w:val="sr-Cyrl-RS"/>
        </w:rPr>
        <w:t>а</w:t>
      </w:r>
      <w:r w:rsidRPr="002C5D8C">
        <w:rPr>
          <w:rFonts w:ascii="Times New Roman" w:hAnsi="Times New Roman" w:cs="Times New Roman"/>
          <w:sz w:val="24"/>
          <w:szCs w:val="24"/>
        </w:rPr>
        <w:t>, мишљењ</w:t>
      </w:r>
      <w:r w:rsidR="007A169F">
        <w:rPr>
          <w:rFonts w:ascii="Times New Roman" w:hAnsi="Times New Roman" w:cs="Times New Roman"/>
          <w:sz w:val="24"/>
          <w:szCs w:val="24"/>
          <w:lang w:val="sr-Cyrl-RS"/>
        </w:rPr>
        <w:t>е</w:t>
      </w:r>
      <w:r w:rsidRPr="002C5D8C">
        <w:rPr>
          <w:rFonts w:ascii="Times New Roman" w:hAnsi="Times New Roman" w:cs="Times New Roman"/>
          <w:sz w:val="24"/>
          <w:szCs w:val="24"/>
        </w:rPr>
        <w:t xml:space="preserve"> Управе за јавне набавке за преговарачке поступке, измене уговора и сл. Значајан раст броја посета </w:t>
      </w:r>
      <w:r w:rsidR="005F59A4">
        <w:rPr>
          <w:rFonts w:ascii="Times New Roman" w:hAnsi="Times New Roman" w:cs="Times New Roman"/>
          <w:sz w:val="24"/>
          <w:szCs w:val="24"/>
        </w:rPr>
        <w:t xml:space="preserve">јасно указује на корисност </w:t>
      </w:r>
      <w:r w:rsidRPr="002C5D8C">
        <w:rPr>
          <w:rFonts w:ascii="Times New Roman" w:hAnsi="Times New Roman" w:cs="Times New Roman"/>
          <w:sz w:val="24"/>
          <w:szCs w:val="24"/>
        </w:rPr>
        <w:t xml:space="preserve">Портала </w:t>
      </w:r>
      <w:r w:rsidR="005F59A4">
        <w:rPr>
          <w:rFonts w:ascii="Times New Roman" w:hAnsi="Times New Roman" w:cs="Times New Roman"/>
          <w:sz w:val="24"/>
          <w:szCs w:val="24"/>
        </w:rPr>
        <w:t xml:space="preserve">за </w:t>
      </w:r>
      <w:r w:rsidR="00D91377">
        <w:rPr>
          <w:rFonts w:ascii="Times New Roman" w:hAnsi="Times New Roman" w:cs="Times New Roman"/>
          <w:sz w:val="24"/>
          <w:szCs w:val="24"/>
          <w:lang w:val="sr-Cyrl-RS"/>
        </w:rPr>
        <w:t>најшири</w:t>
      </w:r>
      <w:r w:rsidR="00E21485">
        <w:rPr>
          <w:rFonts w:ascii="Times New Roman" w:hAnsi="Times New Roman" w:cs="Times New Roman"/>
          <w:sz w:val="24"/>
          <w:szCs w:val="24"/>
        </w:rPr>
        <w:t xml:space="preserve"> круг заинтересованих лица</w:t>
      </w:r>
      <w:r w:rsidRPr="002C5D8C">
        <w:rPr>
          <w:rFonts w:ascii="Times New Roman" w:hAnsi="Times New Roman" w:cs="Times New Roman"/>
          <w:sz w:val="24"/>
          <w:szCs w:val="24"/>
        </w:rPr>
        <w:t xml:space="preserve"> (Слика </w:t>
      </w:r>
      <w:r w:rsidR="003643CD">
        <w:rPr>
          <w:rFonts w:ascii="Times New Roman" w:hAnsi="Times New Roman" w:cs="Times New Roman"/>
          <w:sz w:val="24"/>
          <w:szCs w:val="24"/>
        </w:rPr>
        <w:t>9</w:t>
      </w:r>
      <w:r w:rsidRPr="002C5D8C">
        <w:rPr>
          <w:rFonts w:ascii="Times New Roman" w:hAnsi="Times New Roman" w:cs="Times New Roman"/>
          <w:sz w:val="24"/>
          <w:szCs w:val="24"/>
        </w:rPr>
        <w:t>).</w:t>
      </w:r>
    </w:p>
    <w:p w:rsidR="00F32666" w:rsidRPr="001A588E" w:rsidRDefault="00C41DA4" w:rsidP="007655FB">
      <w:pPr>
        <w:jc w:val="center"/>
        <w:rPr>
          <w:rFonts w:ascii="Times New Roman" w:hAnsi="Times New Roman" w:cs="Times New Roman"/>
          <w:b/>
          <w:sz w:val="24"/>
          <w:szCs w:val="24"/>
        </w:rPr>
      </w:pPr>
      <w:r w:rsidRPr="001A588E">
        <w:rPr>
          <w:rFonts w:ascii="Times New Roman" w:hAnsi="Times New Roman" w:cs="Times New Roman"/>
          <w:b/>
          <w:sz w:val="24"/>
          <w:szCs w:val="24"/>
        </w:rPr>
        <w:t xml:space="preserve">Слика </w:t>
      </w:r>
      <w:r w:rsidR="003643CD" w:rsidRPr="001A588E">
        <w:rPr>
          <w:rFonts w:ascii="Times New Roman" w:hAnsi="Times New Roman" w:cs="Times New Roman"/>
          <w:b/>
          <w:sz w:val="24"/>
          <w:szCs w:val="24"/>
        </w:rPr>
        <w:t>9</w:t>
      </w:r>
    </w:p>
    <w:p w:rsidR="00C469B9" w:rsidRPr="008844FD" w:rsidRDefault="00A34158" w:rsidP="008844FD">
      <w:pPr>
        <w:jc w:val="center"/>
        <w:rPr>
          <w:rFonts w:ascii="Times New Roman" w:hAnsi="Times New Roman" w:cs="Times New Roman"/>
          <w:sz w:val="24"/>
          <w:szCs w:val="24"/>
        </w:rPr>
      </w:pPr>
      <w:r>
        <w:rPr>
          <w:noProof/>
        </w:rPr>
        <w:drawing>
          <wp:inline distT="0" distB="0" distL="0" distR="0">
            <wp:extent cx="6858000" cy="2872596"/>
            <wp:effectExtent l="0" t="0" r="0" b="4445"/>
            <wp:docPr id="5" name="Picture 5" descr="Inline 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Inline image 4"/>
                    <pic:cNvPicPr>
                      <a:picLocks noChangeAspect="1" noChangeArrowheads="1"/>
                    </pic:cNvPicPr>
                  </pic:nvPicPr>
                  <pic:blipFill>
                    <a:blip r:embed="rId34" r:link="rId35">
                      <a:extLst>
                        <a:ext uri="{28A0092B-C50C-407E-A947-70E740481C1C}">
                          <a14:useLocalDpi xmlns:a14="http://schemas.microsoft.com/office/drawing/2010/main" val="0"/>
                        </a:ext>
                      </a:extLst>
                    </a:blip>
                    <a:srcRect/>
                    <a:stretch>
                      <a:fillRect/>
                    </a:stretch>
                  </pic:blipFill>
                  <pic:spPr bwMode="auto">
                    <a:xfrm>
                      <a:off x="0" y="0"/>
                      <a:ext cx="6858000" cy="2872596"/>
                    </a:xfrm>
                    <a:prstGeom prst="rect">
                      <a:avLst/>
                    </a:prstGeom>
                    <a:noFill/>
                    <a:ln>
                      <a:noFill/>
                    </a:ln>
                  </pic:spPr>
                </pic:pic>
              </a:graphicData>
            </a:graphic>
          </wp:inline>
        </w:drawing>
      </w:r>
    </w:p>
    <w:p w:rsidR="00D16263" w:rsidRDefault="00D16263" w:rsidP="00D16263">
      <w:pPr>
        <w:rPr>
          <w:rFonts w:ascii="Times New Roman" w:hAnsi="Times New Roman" w:cs="Times New Roman"/>
          <w:b/>
          <w:sz w:val="24"/>
          <w:szCs w:val="24"/>
        </w:rPr>
      </w:pPr>
    </w:p>
    <w:p w:rsidR="003643CD" w:rsidRDefault="00F84C8B" w:rsidP="00F84C8B">
      <w:pPr>
        <w:jc w:val="both"/>
        <w:rPr>
          <w:rFonts w:ascii="Times New Roman" w:hAnsi="Times New Roman" w:cs="Times New Roman"/>
          <w:sz w:val="24"/>
          <w:szCs w:val="24"/>
          <w:lang w:val="sr-Cyrl-RS"/>
        </w:rPr>
      </w:pPr>
      <w:r>
        <w:rPr>
          <w:rFonts w:ascii="Times New Roman" w:hAnsi="Times New Roman" w:cs="Times New Roman"/>
          <w:sz w:val="24"/>
          <w:szCs w:val="24"/>
          <w:lang w:val="sr-Cyrl-RS"/>
        </w:rPr>
        <w:t>На</w:t>
      </w:r>
      <w:r w:rsidR="00786677">
        <w:rPr>
          <w:rFonts w:ascii="Times New Roman" w:hAnsi="Times New Roman" w:cs="Times New Roman"/>
          <w:sz w:val="24"/>
          <w:szCs w:val="24"/>
        </w:rPr>
        <w:t xml:space="preserve"> </w:t>
      </w:r>
      <w:r>
        <w:rPr>
          <w:rFonts w:ascii="Times New Roman" w:hAnsi="Times New Roman" w:cs="Times New Roman"/>
          <w:sz w:val="24"/>
          <w:szCs w:val="24"/>
          <w:lang w:val="sr-Cyrl-RS"/>
        </w:rPr>
        <w:t>пад</w:t>
      </w:r>
      <w:r w:rsidR="00786677">
        <w:rPr>
          <w:rFonts w:ascii="Times New Roman" w:hAnsi="Times New Roman" w:cs="Times New Roman"/>
          <w:sz w:val="24"/>
          <w:szCs w:val="24"/>
        </w:rPr>
        <w:t xml:space="preserve"> </w:t>
      </w:r>
      <w:r w:rsidR="00D16263" w:rsidRPr="00786677">
        <w:rPr>
          <w:rFonts w:ascii="Times New Roman" w:hAnsi="Times New Roman" w:cs="Times New Roman"/>
          <w:sz w:val="24"/>
          <w:szCs w:val="24"/>
        </w:rPr>
        <w:t xml:space="preserve">броја посета </w:t>
      </w:r>
      <w:r w:rsidR="00786677">
        <w:rPr>
          <w:rFonts w:ascii="Times New Roman" w:hAnsi="Times New Roman" w:cs="Times New Roman"/>
          <w:sz w:val="24"/>
          <w:szCs w:val="24"/>
        </w:rPr>
        <w:t>П</w:t>
      </w:r>
      <w:r w:rsidR="00D16263" w:rsidRPr="00786677">
        <w:rPr>
          <w:rFonts w:ascii="Times New Roman" w:hAnsi="Times New Roman" w:cs="Times New Roman"/>
          <w:sz w:val="24"/>
          <w:szCs w:val="24"/>
        </w:rPr>
        <w:t>орталу</w:t>
      </w:r>
      <w:r w:rsidR="00786677">
        <w:rPr>
          <w:rFonts w:ascii="Times New Roman" w:hAnsi="Times New Roman" w:cs="Times New Roman"/>
          <w:sz w:val="24"/>
          <w:szCs w:val="24"/>
        </w:rPr>
        <w:t>,</w:t>
      </w:r>
      <w:r w:rsidR="00D16263" w:rsidRPr="00786677">
        <w:rPr>
          <w:rFonts w:ascii="Times New Roman" w:hAnsi="Times New Roman" w:cs="Times New Roman"/>
          <w:sz w:val="24"/>
          <w:szCs w:val="24"/>
        </w:rPr>
        <w:t xml:space="preserve"> у првом кварталу 2014. </w:t>
      </w:r>
      <w:r w:rsidR="00786677">
        <w:rPr>
          <w:rFonts w:ascii="Times New Roman" w:hAnsi="Times New Roman" w:cs="Times New Roman"/>
          <w:sz w:val="24"/>
          <w:szCs w:val="24"/>
        </w:rPr>
        <w:t>г</w:t>
      </w:r>
      <w:r w:rsidR="00D16263" w:rsidRPr="00786677">
        <w:rPr>
          <w:rFonts w:ascii="Times New Roman" w:hAnsi="Times New Roman" w:cs="Times New Roman"/>
          <w:sz w:val="24"/>
          <w:szCs w:val="24"/>
        </w:rPr>
        <w:t>одине</w:t>
      </w:r>
      <w:r w:rsidR="00786677">
        <w:rPr>
          <w:rFonts w:ascii="Times New Roman" w:hAnsi="Times New Roman" w:cs="Times New Roman"/>
          <w:sz w:val="24"/>
          <w:szCs w:val="24"/>
        </w:rPr>
        <w:t xml:space="preserve">, </w:t>
      </w:r>
      <w:r w:rsidR="00A62D74">
        <w:rPr>
          <w:rFonts w:ascii="Times New Roman" w:hAnsi="Times New Roman" w:cs="Times New Roman"/>
          <w:sz w:val="24"/>
          <w:szCs w:val="24"/>
          <w:lang w:val="sr-Cyrl-RS"/>
        </w:rPr>
        <w:t>највећим делом</w:t>
      </w:r>
      <w:r>
        <w:rPr>
          <w:rFonts w:ascii="Times New Roman" w:hAnsi="Times New Roman" w:cs="Times New Roman"/>
          <w:sz w:val="24"/>
          <w:szCs w:val="24"/>
          <w:lang w:val="sr-Cyrl-RS"/>
        </w:rPr>
        <w:t xml:space="preserve"> су утицали </w:t>
      </w:r>
      <w:r w:rsidR="00786677">
        <w:rPr>
          <w:rFonts w:ascii="Times New Roman" w:hAnsi="Times New Roman" w:cs="Times New Roman"/>
          <w:sz w:val="24"/>
          <w:szCs w:val="24"/>
        </w:rPr>
        <w:t>новогодишњи и божићни празни</w:t>
      </w:r>
      <w:r>
        <w:rPr>
          <w:rFonts w:ascii="Times New Roman" w:hAnsi="Times New Roman" w:cs="Times New Roman"/>
          <w:sz w:val="24"/>
          <w:szCs w:val="24"/>
          <w:lang w:val="sr-Cyrl-RS"/>
        </w:rPr>
        <w:t>ци</w:t>
      </w:r>
      <w:r w:rsidR="00D16263" w:rsidRPr="00786677">
        <w:rPr>
          <w:rFonts w:ascii="Times New Roman" w:hAnsi="Times New Roman" w:cs="Times New Roman"/>
          <w:sz w:val="24"/>
          <w:szCs w:val="24"/>
        </w:rPr>
        <w:t>.</w:t>
      </w:r>
    </w:p>
    <w:p w:rsidR="00547D59" w:rsidRDefault="00547D59" w:rsidP="00622F21">
      <w:pPr>
        <w:rPr>
          <w:rFonts w:ascii="Times New Roman" w:hAnsi="Times New Roman" w:cs="Times New Roman"/>
          <w:sz w:val="24"/>
          <w:szCs w:val="24"/>
          <w:lang w:val="sr-Cyrl-RS"/>
        </w:rPr>
      </w:pPr>
    </w:p>
    <w:p w:rsidR="00547D59" w:rsidRDefault="00547D59" w:rsidP="00622F21">
      <w:pPr>
        <w:rPr>
          <w:rFonts w:ascii="Times New Roman" w:hAnsi="Times New Roman" w:cs="Times New Roman"/>
          <w:sz w:val="24"/>
          <w:szCs w:val="24"/>
          <w:lang w:val="sr-Cyrl-RS"/>
        </w:rPr>
      </w:pPr>
    </w:p>
    <w:p w:rsidR="00547D59" w:rsidRDefault="00547D59" w:rsidP="00622F21">
      <w:pPr>
        <w:rPr>
          <w:rFonts w:ascii="Times New Roman" w:hAnsi="Times New Roman" w:cs="Times New Roman"/>
          <w:sz w:val="24"/>
          <w:szCs w:val="24"/>
          <w:lang w:val="sr-Cyrl-RS"/>
        </w:rPr>
      </w:pPr>
    </w:p>
    <w:p w:rsidR="00547D59" w:rsidRDefault="00547D59" w:rsidP="00622F21">
      <w:pPr>
        <w:rPr>
          <w:rFonts w:ascii="Times New Roman" w:hAnsi="Times New Roman" w:cs="Times New Roman"/>
          <w:sz w:val="24"/>
          <w:szCs w:val="24"/>
          <w:lang w:val="sr-Cyrl-RS"/>
        </w:rPr>
      </w:pPr>
    </w:p>
    <w:p w:rsidR="00547D59" w:rsidRDefault="00547D59" w:rsidP="00622F21">
      <w:pPr>
        <w:rPr>
          <w:rFonts w:ascii="Times New Roman" w:hAnsi="Times New Roman" w:cs="Times New Roman"/>
          <w:sz w:val="24"/>
          <w:szCs w:val="24"/>
          <w:lang w:val="sr-Cyrl-RS"/>
        </w:rPr>
      </w:pPr>
    </w:p>
    <w:p w:rsidR="00547D59" w:rsidRDefault="00547D59" w:rsidP="00622F21">
      <w:pPr>
        <w:rPr>
          <w:rFonts w:ascii="Times New Roman" w:hAnsi="Times New Roman" w:cs="Times New Roman"/>
          <w:sz w:val="24"/>
          <w:szCs w:val="24"/>
          <w:lang w:val="sr-Cyrl-RS"/>
        </w:rPr>
      </w:pPr>
    </w:p>
    <w:p w:rsidR="00547D59" w:rsidRDefault="00547D59" w:rsidP="00622F21">
      <w:pPr>
        <w:rPr>
          <w:rFonts w:ascii="Times New Roman" w:hAnsi="Times New Roman" w:cs="Times New Roman"/>
          <w:sz w:val="24"/>
          <w:szCs w:val="24"/>
          <w:lang w:val="sr-Cyrl-RS"/>
        </w:rPr>
      </w:pPr>
    </w:p>
    <w:p w:rsidR="00547D59" w:rsidRDefault="00547D59" w:rsidP="00622F21">
      <w:pPr>
        <w:rPr>
          <w:rFonts w:ascii="Times New Roman" w:hAnsi="Times New Roman" w:cs="Times New Roman"/>
          <w:sz w:val="24"/>
          <w:szCs w:val="24"/>
          <w:lang w:val="sr-Cyrl-RS"/>
        </w:rPr>
      </w:pPr>
    </w:p>
    <w:p w:rsidR="00547D59" w:rsidRDefault="00547D59" w:rsidP="00622F21">
      <w:pPr>
        <w:rPr>
          <w:rFonts w:ascii="Times New Roman" w:hAnsi="Times New Roman" w:cs="Times New Roman"/>
          <w:sz w:val="24"/>
          <w:szCs w:val="24"/>
          <w:lang w:val="sr-Cyrl-RS"/>
        </w:rPr>
      </w:pPr>
    </w:p>
    <w:p w:rsidR="00547D59" w:rsidRPr="00547D59" w:rsidRDefault="00547D59" w:rsidP="00622F21">
      <w:pPr>
        <w:rPr>
          <w:rFonts w:ascii="Times New Roman" w:hAnsi="Times New Roman" w:cs="Times New Roman"/>
          <w:sz w:val="24"/>
          <w:szCs w:val="24"/>
          <w:lang w:val="sr-Cyrl-RS"/>
        </w:rPr>
      </w:pPr>
    </w:p>
    <w:p w:rsidR="00A734C3" w:rsidRPr="00107999" w:rsidRDefault="00753F20" w:rsidP="00107999">
      <w:pPr>
        <w:pStyle w:val="ListParagraph"/>
        <w:numPr>
          <w:ilvl w:val="0"/>
          <w:numId w:val="2"/>
        </w:numPr>
        <w:rPr>
          <w:rFonts w:ascii="Times New Roman" w:hAnsi="Times New Roman" w:cs="Times New Roman"/>
          <w:b/>
          <w:sz w:val="24"/>
          <w:szCs w:val="24"/>
        </w:rPr>
      </w:pPr>
      <w:r w:rsidRPr="00107999">
        <w:rPr>
          <w:rFonts w:ascii="Times New Roman" w:hAnsi="Times New Roman" w:cs="Times New Roman"/>
          <w:b/>
          <w:sz w:val="24"/>
          <w:szCs w:val="24"/>
        </w:rPr>
        <w:lastRenderedPageBreak/>
        <w:t>УЧЕШЋЕ ДОМАЋИХ И СТРАНИХ ПОНУЂАЧА</w:t>
      </w:r>
    </w:p>
    <w:p w:rsidR="00D23077" w:rsidRPr="00FB58EA" w:rsidRDefault="00753F20" w:rsidP="00FB58EA">
      <w:pPr>
        <w:jc w:val="both"/>
        <w:rPr>
          <w:rFonts w:ascii="Times New Roman" w:hAnsi="Times New Roman" w:cs="Times New Roman"/>
          <w:sz w:val="24"/>
          <w:szCs w:val="24"/>
        </w:rPr>
      </w:pPr>
      <w:r>
        <w:rPr>
          <w:rFonts w:ascii="Times New Roman" w:hAnsi="Times New Roman" w:cs="Times New Roman"/>
          <w:sz w:val="24"/>
          <w:szCs w:val="24"/>
        </w:rPr>
        <w:t xml:space="preserve">Учешће страних понуђача </w:t>
      </w:r>
      <w:r w:rsidR="00D5059D">
        <w:rPr>
          <w:rFonts w:ascii="Times New Roman" w:hAnsi="Times New Roman" w:cs="Times New Roman"/>
          <w:sz w:val="24"/>
          <w:szCs w:val="24"/>
        </w:rPr>
        <w:t xml:space="preserve">се, </w:t>
      </w:r>
      <w:r>
        <w:rPr>
          <w:rFonts w:ascii="Times New Roman" w:hAnsi="Times New Roman" w:cs="Times New Roman"/>
          <w:sz w:val="24"/>
          <w:szCs w:val="24"/>
        </w:rPr>
        <w:t xml:space="preserve">у </w:t>
      </w:r>
      <w:r w:rsidR="003643CD">
        <w:rPr>
          <w:rFonts w:ascii="Times New Roman" w:hAnsi="Times New Roman" w:cs="Times New Roman"/>
          <w:sz w:val="24"/>
          <w:szCs w:val="24"/>
        </w:rPr>
        <w:t xml:space="preserve">првом полугодишту </w:t>
      </w:r>
      <w:r>
        <w:rPr>
          <w:rFonts w:ascii="Times New Roman" w:hAnsi="Times New Roman" w:cs="Times New Roman"/>
          <w:sz w:val="24"/>
          <w:szCs w:val="24"/>
        </w:rPr>
        <w:t>201</w:t>
      </w:r>
      <w:r w:rsidR="003643CD">
        <w:rPr>
          <w:rFonts w:ascii="Times New Roman" w:hAnsi="Times New Roman" w:cs="Times New Roman"/>
          <w:sz w:val="24"/>
          <w:szCs w:val="24"/>
        </w:rPr>
        <w:t>4</w:t>
      </w:r>
      <w:r>
        <w:rPr>
          <w:rFonts w:ascii="Times New Roman" w:hAnsi="Times New Roman" w:cs="Times New Roman"/>
          <w:sz w:val="24"/>
          <w:szCs w:val="24"/>
        </w:rPr>
        <w:t xml:space="preserve">. </w:t>
      </w:r>
      <w:r w:rsidR="00D5059D">
        <w:rPr>
          <w:rFonts w:ascii="Times New Roman" w:hAnsi="Times New Roman" w:cs="Times New Roman"/>
          <w:sz w:val="24"/>
          <w:szCs w:val="24"/>
        </w:rPr>
        <w:t>г</w:t>
      </w:r>
      <w:r w:rsidR="003643CD">
        <w:rPr>
          <w:rFonts w:ascii="Times New Roman" w:hAnsi="Times New Roman" w:cs="Times New Roman"/>
          <w:sz w:val="24"/>
          <w:szCs w:val="24"/>
        </w:rPr>
        <w:t>одине</w:t>
      </w:r>
      <w:r w:rsidR="00D5059D">
        <w:rPr>
          <w:rFonts w:ascii="Times New Roman" w:hAnsi="Times New Roman" w:cs="Times New Roman"/>
          <w:sz w:val="24"/>
          <w:szCs w:val="24"/>
        </w:rPr>
        <w:t>,</w:t>
      </w:r>
      <w:r w:rsidR="00B92EF5">
        <w:rPr>
          <w:rFonts w:ascii="Times New Roman" w:hAnsi="Times New Roman" w:cs="Times New Roman"/>
          <w:sz w:val="24"/>
          <w:szCs w:val="24"/>
        </w:rPr>
        <w:t xml:space="preserve"> смањило у односу на 201</w:t>
      </w:r>
      <w:r w:rsidR="003643CD">
        <w:rPr>
          <w:rFonts w:ascii="Times New Roman" w:hAnsi="Times New Roman" w:cs="Times New Roman"/>
          <w:sz w:val="24"/>
          <w:szCs w:val="24"/>
        </w:rPr>
        <w:t>3</w:t>
      </w:r>
      <w:r w:rsidR="00B92EF5">
        <w:rPr>
          <w:rFonts w:ascii="Times New Roman" w:hAnsi="Times New Roman" w:cs="Times New Roman"/>
          <w:sz w:val="24"/>
          <w:szCs w:val="24"/>
        </w:rPr>
        <w:t xml:space="preserve">. годину </w:t>
      </w:r>
      <w:r w:rsidR="003643CD">
        <w:rPr>
          <w:rFonts w:ascii="Times New Roman" w:hAnsi="Times New Roman" w:cs="Times New Roman"/>
          <w:sz w:val="24"/>
          <w:szCs w:val="24"/>
        </w:rPr>
        <w:t>с</w:t>
      </w:r>
      <w:r w:rsidR="00B92EF5">
        <w:rPr>
          <w:rFonts w:ascii="Times New Roman" w:hAnsi="Times New Roman" w:cs="Times New Roman"/>
          <w:sz w:val="24"/>
          <w:szCs w:val="24"/>
        </w:rPr>
        <w:t>а  4</w:t>
      </w:r>
      <w:r w:rsidR="003643CD">
        <w:rPr>
          <w:rFonts w:ascii="Times New Roman" w:hAnsi="Times New Roman" w:cs="Times New Roman"/>
          <w:sz w:val="24"/>
          <w:szCs w:val="24"/>
        </w:rPr>
        <w:t xml:space="preserve"> на 2%</w:t>
      </w:r>
      <w:r w:rsidR="00D46694">
        <w:rPr>
          <w:rFonts w:ascii="Times New Roman" w:hAnsi="Times New Roman" w:cs="Times New Roman"/>
          <w:sz w:val="24"/>
          <w:szCs w:val="24"/>
          <w:lang w:val="sr-Cyrl-RS"/>
        </w:rPr>
        <w:t xml:space="preserve"> </w:t>
      </w:r>
      <w:r w:rsidR="003643CD">
        <w:rPr>
          <w:rFonts w:ascii="Times New Roman" w:hAnsi="Times New Roman" w:cs="Times New Roman"/>
          <w:sz w:val="24"/>
          <w:szCs w:val="24"/>
        </w:rPr>
        <w:t xml:space="preserve">од </w:t>
      </w:r>
      <w:r w:rsidR="00C350A5">
        <w:rPr>
          <w:rFonts w:ascii="Times New Roman" w:hAnsi="Times New Roman" w:cs="Times New Roman"/>
          <w:sz w:val="24"/>
          <w:szCs w:val="24"/>
          <w:lang w:val="sr-Cyrl-RS"/>
        </w:rPr>
        <w:t xml:space="preserve">укупне </w:t>
      </w:r>
      <w:r w:rsidR="003643CD">
        <w:rPr>
          <w:rFonts w:ascii="Times New Roman" w:hAnsi="Times New Roman" w:cs="Times New Roman"/>
          <w:sz w:val="24"/>
          <w:szCs w:val="24"/>
        </w:rPr>
        <w:t>вредности закључених уговора</w:t>
      </w:r>
      <w:r w:rsidR="0091653F">
        <w:rPr>
          <w:rFonts w:ascii="Times New Roman" w:hAnsi="Times New Roman" w:cs="Times New Roman"/>
          <w:sz w:val="24"/>
          <w:szCs w:val="24"/>
          <w:lang w:val="sr-Cyrl-RS"/>
        </w:rPr>
        <w:t xml:space="preserve"> </w:t>
      </w:r>
      <w:r>
        <w:rPr>
          <w:rFonts w:ascii="Times New Roman" w:hAnsi="Times New Roman" w:cs="Times New Roman"/>
          <w:sz w:val="24"/>
          <w:szCs w:val="24"/>
        </w:rPr>
        <w:t>(Слика 1</w:t>
      </w:r>
      <w:r w:rsidR="003643CD">
        <w:rPr>
          <w:rFonts w:ascii="Times New Roman" w:hAnsi="Times New Roman" w:cs="Times New Roman"/>
          <w:sz w:val="24"/>
          <w:szCs w:val="24"/>
        </w:rPr>
        <w:t>0</w:t>
      </w:r>
      <w:r>
        <w:rPr>
          <w:rFonts w:ascii="Times New Roman" w:hAnsi="Times New Roman" w:cs="Times New Roman"/>
          <w:sz w:val="24"/>
          <w:szCs w:val="24"/>
        </w:rPr>
        <w:t xml:space="preserve">, </w:t>
      </w:r>
      <w:r w:rsidRPr="00A93681">
        <w:rPr>
          <w:rFonts w:ascii="Times New Roman" w:hAnsi="Times New Roman" w:cs="Times New Roman"/>
          <w:sz w:val="24"/>
          <w:szCs w:val="24"/>
        </w:rPr>
        <w:t xml:space="preserve">Табела </w:t>
      </w:r>
      <w:r w:rsidR="00B932AA" w:rsidRPr="00A93681">
        <w:rPr>
          <w:rFonts w:ascii="Times New Roman" w:hAnsi="Times New Roman" w:cs="Times New Roman"/>
          <w:sz w:val="24"/>
          <w:szCs w:val="24"/>
        </w:rPr>
        <w:t>7</w:t>
      </w:r>
      <w:r>
        <w:rPr>
          <w:rFonts w:ascii="Times New Roman" w:hAnsi="Times New Roman" w:cs="Times New Roman"/>
          <w:sz w:val="24"/>
          <w:szCs w:val="24"/>
        </w:rPr>
        <w:t>)</w:t>
      </w:r>
      <w:r w:rsidR="00F40367">
        <w:rPr>
          <w:rFonts w:ascii="Times New Roman" w:hAnsi="Times New Roman" w:cs="Times New Roman"/>
          <w:sz w:val="24"/>
          <w:szCs w:val="24"/>
        </w:rPr>
        <w:t>.</w:t>
      </w:r>
    </w:p>
    <w:p w:rsidR="00174F35" w:rsidRPr="00547D59" w:rsidRDefault="00174F35" w:rsidP="00547D59">
      <w:pPr>
        <w:rPr>
          <w:rFonts w:ascii="Times New Roman" w:hAnsi="Times New Roman" w:cs="Times New Roman"/>
          <w:b/>
          <w:color w:val="FF0000"/>
          <w:sz w:val="24"/>
          <w:szCs w:val="24"/>
          <w:lang w:val="sr-Cyrl-RS"/>
        </w:rPr>
      </w:pPr>
    </w:p>
    <w:p w:rsidR="00753F20" w:rsidRPr="001A588E" w:rsidRDefault="00C41DA4" w:rsidP="008844FD">
      <w:pPr>
        <w:jc w:val="center"/>
        <w:rPr>
          <w:rFonts w:ascii="Times New Roman" w:hAnsi="Times New Roman" w:cs="Times New Roman"/>
          <w:sz w:val="24"/>
          <w:szCs w:val="24"/>
        </w:rPr>
      </w:pPr>
      <w:r w:rsidRPr="001A588E">
        <w:rPr>
          <w:rFonts w:ascii="Times New Roman" w:hAnsi="Times New Roman" w:cs="Times New Roman"/>
          <w:b/>
          <w:sz w:val="24"/>
          <w:szCs w:val="24"/>
        </w:rPr>
        <w:t>Слика 1</w:t>
      </w:r>
      <w:r w:rsidR="003643CD" w:rsidRPr="001A588E">
        <w:rPr>
          <w:rFonts w:ascii="Times New Roman" w:hAnsi="Times New Roman" w:cs="Times New Roman"/>
          <w:b/>
          <w:sz w:val="24"/>
          <w:szCs w:val="24"/>
        </w:rPr>
        <w:t>0</w:t>
      </w:r>
    </w:p>
    <w:p w:rsidR="00753F20" w:rsidRDefault="003643CD" w:rsidP="00753F20">
      <w:pPr>
        <w:jc w:val="center"/>
        <w:rPr>
          <w:rFonts w:ascii="Times New Roman" w:hAnsi="Times New Roman" w:cs="Times New Roman"/>
          <w:sz w:val="24"/>
          <w:szCs w:val="24"/>
        </w:rPr>
      </w:pPr>
      <w:r w:rsidRPr="004A1464">
        <w:rPr>
          <w:rFonts w:ascii="Times New Roman" w:hAnsi="Times New Roman" w:cs="Times New Roman"/>
          <w:sz w:val="24"/>
          <w:szCs w:val="24"/>
        </w:rPr>
        <w:object w:dxaOrig="7912" w:dyaOrig="6373">
          <v:shape id="_x0000_i1032" type="#_x0000_t75" style="width:396pt;height:254.05pt" o:ole="">
            <v:imagedata r:id="rId36" o:title=""/>
          </v:shape>
          <o:OLEObject Type="Embed" ProgID="Excel.Sheet.12" ShapeID="_x0000_i1032" DrawAspect="Content" ObjectID="_1471688942" r:id="rId37"/>
        </w:object>
      </w:r>
    </w:p>
    <w:p w:rsidR="00837EA8" w:rsidRPr="001A588E" w:rsidRDefault="001A588E">
      <w:pPr>
        <w:rPr>
          <w:rFonts w:ascii="Times New Roman" w:hAnsi="Times New Roman" w:cs="Times New Roman"/>
          <w:b/>
          <w:sz w:val="24"/>
          <w:szCs w:val="24"/>
        </w:rPr>
      </w:pPr>
      <w:r>
        <w:rPr>
          <w:rFonts w:ascii="Times New Roman" w:hAnsi="Times New Roman" w:cs="Times New Roman"/>
          <w:b/>
          <w:sz w:val="24"/>
          <w:szCs w:val="24"/>
          <w:lang w:val="sr-Cyrl-RS"/>
        </w:rPr>
        <w:t xml:space="preserve">      </w:t>
      </w:r>
      <w:r w:rsidR="000512E4" w:rsidRPr="001A588E">
        <w:rPr>
          <w:rFonts w:ascii="Times New Roman" w:hAnsi="Times New Roman" w:cs="Times New Roman"/>
          <w:b/>
          <w:sz w:val="24"/>
          <w:szCs w:val="24"/>
        </w:rPr>
        <w:t>Табела 7</w:t>
      </w:r>
    </w:p>
    <w:tbl>
      <w:tblPr>
        <w:tblW w:w="10065" w:type="dxa"/>
        <w:jc w:val="center"/>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3"/>
        <w:gridCol w:w="652"/>
        <w:gridCol w:w="652"/>
        <w:gridCol w:w="652"/>
        <w:gridCol w:w="652"/>
        <w:gridCol w:w="652"/>
        <w:gridCol w:w="652"/>
        <w:gridCol w:w="652"/>
        <w:gridCol w:w="652"/>
        <w:gridCol w:w="576"/>
        <w:gridCol w:w="648"/>
        <w:gridCol w:w="598"/>
        <w:gridCol w:w="775"/>
        <w:gridCol w:w="1169"/>
      </w:tblGrid>
      <w:tr w:rsidR="00EB6BEB" w:rsidRPr="00EB6BEB" w:rsidTr="00A8404D">
        <w:trPr>
          <w:trHeight w:val="915"/>
          <w:jc w:val="center"/>
        </w:trPr>
        <w:tc>
          <w:tcPr>
            <w:tcW w:w="10065" w:type="dxa"/>
            <w:gridSpan w:val="14"/>
            <w:vAlign w:val="center"/>
          </w:tcPr>
          <w:p w:rsidR="00805A77" w:rsidRDefault="00EB6BEB" w:rsidP="00EB6BEB">
            <w:pPr>
              <w:tabs>
                <w:tab w:val="left" w:pos="1885"/>
              </w:tabs>
              <w:spacing w:after="0" w:line="240" w:lineRule="auto"/>
              <w:jc w:val="center"/>
              <w:rPr>
                <w:rFonts w:ascii="Times New Roman" w:eastAsia="Times New Roman" w:hAnsi="Times New Roman" w:cs="Times New Roman"/>
                <w:b/>
                <w:sz w:val="24"/>
                <w:szCs w:val="24"/>
              </w:rPr>
            </w:pPr>
            <w:r w:rsidRPr="00EB6BEB">
              <w:rPr>
                <w:rFonts w:ascii="Times New Roman" w:eastAsia="Times New Roman" w:hAnsi="Times New Roman" w:cs="Times New Roman"/>
                <w:b/>
                <w:sz w:val="24"/>
                <w:szCs w:val="24"/>
              </w:rPr>
              <w:t>Упоредни преглед набавки према вредности уговора додељених</w:t>
            </w:r>
            <w:r w:rsidR="00805A77">
              <w:rPr>
                <w:rFonts w:ascii="Times New Roman" w:eastAsia="Times New Roman" w:hAnsi="Times New Roman" w:cs="Times New Roman"/>
                <w:b/>
                <w:sz w:val="24"/>
                <w:szCs w:val="24"/>
              </w:rPr>
              <w:t xml:space="preserve"> </w:t>
            </w:r>
          </w:p>
          <w:p w:rsidR="00EB6BEB" w:rsidRPr="00EB6BEB" w:rsidRDefault="00EB6BEB" w:rsidP="00EB6BEB">
            <w:pPr>
              <w:tabs>
                <w:tab w:val="left" w:pos="1885"/>
              </w:tabs>
              <w:spacing w:after="0" w:line="240" w:lineRule="auto"/>
              <w:jc w:val="center"/>
              <w:rPr>
                <w:rFonts w:ascii="Times New Roman" w:eastAsia="Times New Roman" w:hAnsi="Times New Roman" w:cs="Times New Roman"/>
                <w:b/>
                <w:sz w:val="20"/>
                <w:szCs w:val="20"/>
              </w:rPr>
            </w:pPr>
            <w:r w:rsidRPr="00EB6BEB">
              <w:rPr>
                <w:rFonts w:ascii="Times New Roman" w:eastAsia="Times New Roman" w:hAnsi="Times New Roman" w:cs="Times New Roman"/>
                <w:b/>
                <w:sz w:val="24"/>
                <w:szCs w:val="24"/>
              </w:rPr>
              <w:t>страним и домаћим понуђачима (у %)</w:t>
            </w:r>
          </w:p>
        </w:tc>
      </w:tr>
      <w:tr w:rsidR="00EB6BEB" w:rsidRPr="00EB6BEB" w:rsidTr="00A8404D">
        <w:tblPrEx>
          <w:tblLook w:val="04A0" w:firstRow="1" w:lastRow="0" w:firstColumn="1" w:lastColumn="0" w:noHBand="0" w:noVBand="1"/>
        </w:tblPrEx>
        <w:trPr>
          <w:jc w:val="center"/>
        </w:trPr>
        <w:tc>
          <w:tcPr>
            <w:tcW w:w="1082" w:type="dxa"/>
            <w:shd w:val="clear" w:color="auto" w:fill="auto"/>
            <w:vAlign w:val="center"/>
          </w:tcPr>
          <w:p w:rsidR="00EB6BEB" w:rsidRPr="00EB6BEB" w:rsidRDefault="00EB6BEB" w:rsidP="00EB6BEB">
            <w:pPr>
              <w:tabs>
                <w:tab w:val="left" w:pos="1885"/>
              </w:tabs>
              <w:spacing w:after="0" w:line="240" w:lineRule="auto"/>
              <w:rPr>
                <w:rFonts w:ascii="Times New Roman" w:eastAsia="Times New Roman" w:hAnsi="Times New Roman" w:cs="Times New Roman"/>
                <w:b/>
                <w:sz w:val="20"/>
                <w:szCs w:val="20"/>
              </w:rPr>
            </w:pPr>
            <w:r w:rsidRPr="00EB6BEB">
              <w:rPr>
                <w:rFonts w:ascii="Times New Roman" w:eastAsia="Times New Roman" w:hAnsi="Times New Roman" w:cs="Times New Roman"/>
                <w:b/>
                <w:sz w:val="20"/>
                <w:szCs w:val="20"/>
              </w:rPr>
              <w:t>Година</w:t>
            </w:r>
          </w:p>
        </w:tc>
        <w:tc>
          <w:tcPr>
            <w:tcW w:w="656"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b/>
                <w:sz w:val="16"/>
                <w:szCs w:val="16"/>
              </w:rPr>
            </w:pPr>
            <w:r w:rsidRPr="00EB6BEB">
              <w:rPr>
                <w:rFonts w:ascii="Times New Roman" w:eastAsia="Times New Roman" w:hAnsi="Times New Roman" w:cs="Times New Roman"/>
                <w:b/>
                <w:sz w:val="16"/>
                <w:szCs w:val="16"/>
              </w:rPr>
              <w:t>2002.</w:t>
            </w:r>
          </w:p>
        </w:tc>
        <w:tc>
          <w:tcPr>
            <w:tcW w:w="656"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b/>
                <w:sz w:val="16"/>
                <w:szCs w:val="16"/>
              </w:rPr>
            </w:pPr>
            <w:r w:rsidRPr="00EB6BEB">
              <w:rPr>
                <w:rFonts w:ascii="Times New Roman" w:eastAsia="Times New Roman" w:hAnsi="Times New Roman" w:cs="Times New Roman"/>
                <w:b/>
                <w:sz w:val="16"/>
                <w:szCs w:val="16"/>
              </w:rPr>
              <w:t>2003.</w:t>
            </w:r>
          </w:p>
        </w:tc>
        <w:tc>
          <w:tcPr>
            <w:tcW w:w="656"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b/>
                <w:sz w:val="16"/>
                <w:szCs w:val="16"/>
              </w:rPr>
            </w:pPr>
            <w:r w:rsidRPr="00EB6BEB">
              <w:rPr>
                <w:rFonts w:ascii="Times New Roman" w:eastAsia="Times New Roman" w:hAnsi="Times New Roman" w:cs="Times New Roman"/>
                <w:b/>
                <w:sz w:val="16"/>
                <w:szCs w:val="16"/>
              </w:rPr>
              <w:t>2004.</w:t>
            </w:r>
          </w:p>
        </w:tc>
        <w:tc>
          <w:tcPr>
            <w:tcW w:w="656"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b/>
                <w:sz w:val="16"/>
                <w:szCs w:val="16"/>
              </w:rPr>
            </w:pPr>
            <w:r w:rsidRPr="00EB6BEB">
              <w:rPr>
                <w:rFonts w:ascii="Times New Roman" w:eastAsia="Times New Roman" w:hAnsi="Times New Roman" w:cs="Times New Roman"/>
                <w:b/>
                <w:sz w:val="16"/>
                <w:szCs w:val="16"/>
              </w:rPr>
              <w:t>2005.</w:t>
            </w:r>
          </w:p>
        </w:tc>
        <w:tc>
          <w:tcPr>
            <w:tcW w:w="656"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b/>
                <w:sz w:val="16"/>
                <w:szCs w:val="16"/>
              </w:rPr>
            </w:pPr>
            <w:r w:rsidRPr="00EB6BEB">
              <w:rPr>
                <w:rFonts w:ascii="Times New Roman" w:eastAsia="Times New Roman" w:hAnsi="Times New Roman" w:cs="Times New Roman"/>
                <w:b/>
                <w:sz w:val="16"/>
                <w:szCs w:val="16"/>
              </w:rPr>
              <w:t>2006.</w:t>
            </w:r>
          </w:p>
        </w:tc>
        <w:tc>
          <w:tcPr>
            <w:tcW w:w="656"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b/>
                <w:sz w:val="16"/>
                <w:szCs w:val="16"/>
              </w:rPr>
            </w:pPr>
            <w:r w:rsidRPr="00EB6BEB">
              <w:rPr>
                <w:rFonts w:ascii="Times New Roman" w:eastAsia="Times New Roman" w:hAnsi="Times New Roman" w:cs="Times New Roman"/>
                <w:b/>
                <w:sz w:val="16"/>
                <w:szCs w:val="16"/>
              </w:rPr>
              <w:t>2007.</w:t>
            </w:r>
          </w:p>
        </w:tc>
        <w:tc>
          <w:tcPr>
            <w:tcW w:w="656"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b/>
                <w:sz w:val="16"/>
                <w:szCs w:val="16"/>
              </w:rPr>
            </w:pPr>
            <w:r w:rsidRPr="00EB6BEB">
              <w:rPr>
                <w:rFonts w:ascii="Times New Roman" w:eastAsia="Times New Roman" w:hAnsi="Times New Roman" w:cs="Times New Roman"/>
                <w:b/>
                <w:sz w:val="16"/>
                <w:szCs w:val="16"/>
              </w:rPr>
              <w:t>2008.</w:t>
            </w:r>
          </w:p>
        </w:tc>
        <w:tc>
          <w:tcPr>
            <w:tcW w:w="656"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b/>
                <w:sz w:val="16"/>
                <w:szCs w:val="16"/>
              </w:rPr>
            </w:pPr>
            <w:r w:rsidRPr="00EB6BEB">
              <w:rPr>
                <w:rFonts w:ascii="Times New Roman" w:eastAsia="Times New Roman" w:hAnsi="Times New Roman" w:cs="Times New Roman"/>
                <w:b/>
                <w:sz w:val="16"/>
                <w:szCs w:val="16"/>
              </w:rPr>
              <w:t>2009.</w:t>
            </w:r>
          </w:p>
        </w:tc>
        <w:tc>
          <w:tcPr>
            <w:tcW w:w="546"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b/>
                <w:sz w:val="16"/>
                <w:szCs w:val="16"/>
              </w:rPr>
            </w:pPr>
            <w:r w:rsidRPr="00EB6BEB">
              <w:rPr>
                <w:rFonts w:ascii="Times New Roman" w:eastAsia="Times New Roman" w:hAnsi="Times New Roman" w:cs="Times New Roman"/>
                <w:b/>
                <w:sz w:val="16"/>
                <w:szCs w:val="16"/>
              </w:rPr>
              <w:t>2010.</w:t>
            </w:r>
          </w:p>
        </w:tc>
        <w:tc>
          <w:tcPr>
            <w:tcW w:w="652"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b/>
                <w:sz w:val="16"/>
                <w:szCs w:val="16"/>
              </w:rPr>
            </w:pPr>
            <w:r w:rsidRPr="00EB6BEB">
              <w:rPr>
                <w:rFonts w:ascii="Times New Roman" w:eastAsia="Times New Roman" w:hAnsi="Times New Roman" w:cs="Times New Roman"/>
                <w:b/>
                <w:sz w:val="16"/>
                <w:szCs w:val="16"/>
              </w:rPr>
              <w:t>2011.</w:t>
            </w:r>
          </w:p>
        </w:tc>
        <w:tc>
          <w:tcPr>
            <w:tcW w:w="599"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b/>
                <w:sz w:val="16"/>
                <w:szCs w:val="16"/>
              </w:rPr>
            </w:pPr>
            <w:r w:rsidRPr="00EB6BEB">
              <w:rPr>
                <w:rFonts w:ascii="Times New Roman" w:eastAsia="Times New Roman" w:hAnsi="Times New Roman" w:cs="Times New Roman"/>
                <w:b/>
                <w:sz w:val="16"/>
                <w:szCs w:val="16"/>
              </w:rPr>
              <w:t>2012.</w:t>
            </w:r>
          </w:p>
        </w:tc>
        <w:tc>
          <w:tcPr>
            <w:tcW w:w="785"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b/>
                <w:sz w:val="16"/>
                <w:szCs w:val="16"/>
                <w:lang w:val="sr-Cyrl-CS"/>
              </w:rPr>
            </w:pPr>
            <w:r w:rsidRPr="00EB6BEB">
              <w:rPr>
                <w:rFonts w:ascii="Times New Roman" w:eastAsia="Times New Roman" w:hAnsi="Times New Roman" w:cs="Times New Roman"/>
                <w:b/>
                <w:sz w:val="16"/>
                <w:szCs w:val="16"/>
                <w:lang w:val="sr-Cyrl-CS"/>
              </w:rPr>
              <w:t>2013.</w:t>
            </w:r>
          </w:p>
        </w:tc>
        <w:tc>
          <w:tcPr>
            <w:tcW w:w="1153" w:type="dxa"/>
          </w:tcPr>
          <w:p w:rsidR="00EB6BEB" w:rsidRPr="00EB6BEB" w:rsidRDefault="00EB6BEB" w:rsidP="00EB6BEB">
            <w:pPr>
              <w:tabs>
                <w:tab w:val="left" w:pos="1885"/>
              </w:tabs>
              <w:spacing w:after="0" w:line="240" w:lineRule="auto"/>
              <w:jc w:val="center"/>
              <w:rPr>
                <w:rFonts w:ascii="Times New Roman" w:eastAsia="Times New Roman" w:hAnsi="Times New Roman" w:cs="Times New Roman"/>
                <w:b/>
                <w:sz w:val="16"/>
                <w:szCs w:val="16"/>
              </w:rPr>
            </w:pPr>
            <w:r w:rsidRPr="00EB6BEB">
              <w:rPr>
                <w:rFonts w:ascii="Times New Roman" w:eastAsia="Times New Roman" w:hAnsi="Times New Roman" w:cs="Times New Roman"/>
                <w:b/>
                <w:sz w:val="16"/>
                <w:szCs w:val="16"/>
              </w:rPr>
              <w:t>2014.</w:t>
            </w:r>
          </w:p>
          <w:p w:rsidR="00EB6BEB" w:rsidRPr="00EB6BEB" w:rsidRDefault="001B087D" w:rsidP="00174F35">
            <w:pPr>
              <w:tabs>
                <w:tab w:val="left" w:pos="1885"/>
              </w:tabs>
              <w:spacing w:after="0" w:line="240" w:lineRule="auto"/>
              <w:jc w:val="center"/>
              <w:rPr>
                <w:rFonts w:ascii="Times New Roman" w:eastAsia="Times New Roman" w:hAnsi="Times New Roman" w:cs="Times New Roman"/>
                <w:b/>
                <w:sz w:val="16"/>
                <w:szCs w:val="16"/>
                <w:lang w:val="sr-Cyrl-CS"/>
              </w:rPr>
            </w:pPr>
            <w:r>
              <w:rPr>
                <w:rFonts w:ascii="Times New Roman" w:eastAsia="Times New Roman" w:hAnsi="Times New Roman" w:cs="Times New Roman"/>
                <w:b/>
                <w:sz w:val="16"/>
                <w:szCs w:val="16"/>
                <w:lang w:val="sr-Cyrl-CS"/>
              </w:rPr>
              <w:t>п</w:t>
            </w:r>
            <w:r w:rsidR="00EB6BEB" w:rsidRPr="00EB6BEB">
              <w:rPr>
                <w:rFonts w:ascii="Times New Roman" w:eastAsia="Times New Roman" w:hAnsi="Times New Roman" w:cs="Times New Roman"/>
                <w:b/>
                <w:sz w:val="16"/>
                <w:szCs w:val="16"/>
                <w:lang w:val="sr-Cyrl-CS"/>
              </w:rPr>
              <w:t xml:space="preserve">рво </w:t>
            </w:r>
            <w:r w:rsidR="00174F35">
              <w:rPr>
                <w:rFonts w:ascii="Times New Roman" w:eastAsia="Times New Roman" w:hAnsi="Times New Roman" w:cs="Times New Roman"/>
                <w:b/>
                <w:sz w:val="16"/>
                <w:szCs w:val="16"/>
                <w:lang w:val="sr-Cyrl-CS"/>
              </w:rPr>
              <w:t>полугодиште</w:t>
            </w:r>
          </w:p>
        </w:tc>
      </w:tr>
      <w:tr w:rsidR="00EB6BEB" w:rsidRPr="00EB6BEB" w:rsidTr="00A8404D">
        <w:tblPrEx>
          <w:tblLook w:val="04A0" w:firstRow="1" w:lastRow="0" w:firstColumn="1" w:lastColumn="0" w:noHBand="0" w:noVBand="1"/>
        </w:tblPrEx>
        <w:trPr>
          <w:jc w:val="center"/>
        </w:trPr>
        <w:tc>
          <w:tcPr>
            <w:tcW w:w="1082" w:type="dxa"/>
            <w:shd w:val="clear" w:color="auto" w:fill="auto"/>
            <w:vAlign w:val="center"/>
          </w:tcPr>
          <w:p w:rsidR="00EB6BEB" w:rsidRPr="00EB6BEB" w:rsidRDefault="00EB6BEB" w:rsidP="00EB6BEB">
            <w:pPr>
              <w:tabs>
                <w:tab w:val="left" w:pos="1885"/>
              </w:tabs>
              <w:spacing w:after="0" w:line="240" w:lineRule="auto"/>
              <w:rPr>
                <w:rFonts w:ascii="Times New Roman" w:eastAsia="Times New Roman" w:hAnsi="Times New Roman" w:cs="Times New Roman"/>
                <w:b/>
                <w:sz w:val="20"/>
                <w:szCs w:val="20"/>
              </w:rPr>
            </w:pPr>
            <w:r w:rsidRPr="00EB6BEB">
              <w:rPr>
                <w:rFonts w:ascii="Times New Roman" w:eastAsia="Times New Roman" w:hAnsi="Times New Roman" w:cs="Times New Roman"/>
                <w:b/>
                <w:sz w:val="20"/>
                <w:szCs w:val="20"/>
              </w:rPr>
              <w:t>Домаћи понуђачи</w:t>
            </w:r>
          </w:p>
        </w:tc>
        <w:tc>
          <w:tcPr>
            <w:tcW w:w="656"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sz w:val="20"/>
                <w:szCs w:val="20"/>
              </w:rPr>
            </w:pPr>
            <w:r w:rsidRPr="00EB6BEB">
              <w:rPr>
                <w:rFonts w:ascii="Times New Roman" w:eastAsia="Times New Roman" w:hAnsi="Times New Roman" w:cs="Times New Roman"/>
                <w:sz w:val="20"/>
                <w:szCs w:val="20"/>
              </w:rPr>
              <w:t>80</w:t>
            </w:r>
          </w:p>
        </w:tc>
        <w:tc>
          <w:tcPr>
            <w:tcW w:w="656"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sz w:val="20"/>
                <w:szCs w:val="20"/>
              </w:rPr>
            </w:pPr>
            <w:r w:rsidRPr="00EB6BEB">
              <w:rPr>
                <w:rFonts w:ascii="Times New Roman" w:eastAsia="Times New Roman" w:hAnsi="Times New Roman" w:cs="Times New Roman"/>
                <w:sz w:val="20"/>
                <w:szCs w:val="20"/>
              </w:rPr>
              <w:t>84</w:t>
            </w:r>
          </w:p>
        </w:tc>
        <w:tc>
          <w:tcPr>
            <w:tcW w:w="656"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sz w:val="20"/>
                <w:szCs w:val="20"/>
              </w:rPr>
            </w:pPr>
            <w:r w:rsidRPr="00EB6BEB">
              <w:rPr>
                <w:rFonts w:ascii="Times New Roman" w:eastAsia="Times New Roman" w:hAnsi="Times New Roman" w:cs="Times New Roman"/>
                <w:sz w:val="20"/>
                <w:szCs w:val="20"/>
              </w:rPr>
              <w:t>91</w:t>
            </w:r>
          </w:p>
        </w:tc>
        <w:tc>
          <w:tcPr>
            <w:tcW w:w="656"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sz w:val="20"/>
                <w:szCs w:val="20"/>
              </w:rPr>
            </w:pPr>
            <w:r w:rsidRPr="00EB6BEB">
              <w:rPr>
                <w:rFonts w:ascii="Times New Roman" w:eastAsia="Times New Roman" w:hAnsi="Times New Roman" w:cs="Times New Roman"/>
                <w:sz w:val="20"/>
                <w:szCs w:val="20"/>
              </w:rPr>
              <w:t>91</w:t>
            </w:r>
          </w:p>
        </w:tc>
        <w:tc>
          <w:tcPr>
            <w:tcW w:w="656"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sz w:val="20"/>
                <w:szCs w:val="20"/>
              </w:rPr>
            </w:pPr>
            <w:r w:rsidRPr="00EB6BEB">
              <w:rPr>
                <w:rFonts w:ascii="Times New Roman" w:eastAsia="Times New Roman" w:hAnsi="Times New Roman" w:cs="Times New Roman"/>
                <w:sz w:val="20"/>
                <w:szCs w:val="20"/>
              </w:rPr>
              <w:t>90</w:t>
            </w:r>
          </w:p>
        </w:tc>
        <w:tc>
          <w:tcPr>
            <w:tcW w:w="656"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sz w:val="20"/>
                <w:szCs w:val="20"/>
              </w:rPr>
            </w:pPr>
            <w:r w:rsidRPr="00EB6BEB">
              <w:rPr>
                <w:rFonts w:ascii="Times New Roman" w:eastAsia="Times New Roman" w:hAnsi="Times New Roman" w:cs="Times New Roman"/>
                <w:sz w:val="20"/>
                <w:szCs w:val="20"/>
              </w:rPr>
              <w:t>96</w:t>
            </w:r>
          </w:p>
        </w:tc>
        <w:tc>
          <w:tcPr>
            <w:tcW w:w="656"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sz w:val="20"/>
                <w:szCs w:val="20"/>
              </w:rPr>
            </w:pPr>
            <w:r w:rsidRPr="00EB6BEB">
              <w:rPr>
                <w:rFonts w:ascii="Times New Roman" w:eastAsia="Times New Roman" w:hAnsi="Times New Roman" w:cs="Times New Roman"/>
                <w:sz w:val="20"/>
                <w:szCs w:val="20"/>
              </w:rPr>
              <w:t>93</w:t>
            </w:r>
          </w:p>
        </w:tc>
        <w:tc>
          <w:tcPr>
            <w:tcW w:w="656"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sz w:val="20"/>
                <w:szCs w:val="20"/>
              </w:rPr>
            </w:pPr>
            <w:r w:rsidRPr="00EB6BEB">
              <w:rPr>
                <w:rFonts w:ascii="Times New Roman" w:eastAsia="Times New Roman" w:hAnsi="Times New Roman" w:cs="Times New Roman"/>
                <w:sz w:val="20"/>
                <w:szCs w:val="20"/>
              </w:rPr>
              <w:t>96</w:t>
            </w:r>
          </w:p>
        </w:tc>
        <w:tc>
          <w:tcPr>
            <w:tcW w:w="546"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sz w:val="20"/>
                <w:szCs w:val="20"/>
              </w:rPr>
            </w:pPr>
            <w:r w:rsidRPr="00EB6BEB">
              <w:rPr>
                <w:rFonts w:ascii="Times New Roman" w:eastAsia="Times New Roman" w:hAnsi="Times New Roman" w:cs="Times New Roman"/>
                <w:sz w:val="20"/>
                <w:szCs w:val="20"/>
              </w:rPr>
              <w:t>97</w:t>
            </w:r>
          </w:p>
        </w:tc>
        <w:tc>
          <w:tcPr>
            <w:tcW w:w="652"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sz w:val="20"/>
                <w:szCs w:val="20"/>
              </w:rPr>
            </w:pPr>
            <w:r w:rsidRPr="00EB6BEB">
              <w:rPr>
                <w:rFonts w:ascii="Times New Roman" w:eastAsia="Times New Roman" w:hAnsi="Times New Roman" w:cs="Times New Roman"/>
                <w:sz w:val="20"/>
                <w:szCs w:val="20"/>
              </w:rPr>
              <w:t>98</w:t>
            </w:r>
          </w:p>
        </w:tc>
        <w:tc>
          <w:tcPr>
            <w:tcW w:w="599"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sz w:val="20"/>
                <w:szCs w:val="20"/>
              </w:rPr>
            </w:pPr>
            <w:r w:rsidRPr="00EB6BEB">
              <w:rPr>
                <w:rFonts w:ascii="Times New Roman" w:eastAsia="Times New Roman" w:hAnsi="Times New Roman" w:cs="Times New Roman"/>
                <w:sz w:val="20"/>
                <w:szCs w:val="20"/>
              </w:rPr>
              <w:t>88</w:t>
            </w:r>
          </w:p>
        </w:tc>
        <w:tc>
          <w:tcPr>
            <w:tcW w:w="785"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sz w:val="20"/>
                <w:szCs w:val="20"/>
                <w:lang w:val="sr-Cyrl-CS"/>
              </w:rPr>
            </w:pPr>
            <w:r w:rsidRPr="00EB6BEB">
              <w:rPr>
                <w:rFonts w:ascii="Times New Roman" w:eastAsia="Times New Roman" w:hAnsi="Times New Roman" w:cs="Times New Roman"/>
                <w:sz w:val="20"/>
                <w:szCs w:val="20"/>
              </w:rPr>
              <w:t>9</w:t>
            </w:r>
            <w:r w:rsidRPr="00EB6BEB">
              <w:rPr>
                <w:rFonts w:ascii="Times New Roman" w:eastAsia="Times New Roman" w:hAnsi="Times New Roman" w:cs="Times New Roman"/>
                <w:sz w:val="20"/>
                <w:szCs w:val="20"/>
                <w:lang w:val="sr-Cyrl-CS"/>
              </w:rPr>
              <w:t>6</w:t>
            </w:r>
          </w:p>
        </w:tc>
        <w:tc>
          <w:tcPr>
            <w:tcW w:w="1153" w:type="dxa"/>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sz w:val="20"/>
                <w:szCs w:val="20"/>
                <w:lang w:val="sr-Cyrl-CS"/>
              </w:rPr>
            </w:pPr>
            <w:r w:rsidRPr="00EB6BEB">
              <w:rPr>
                <w:rFonts w:ascii="Times New Roman" w:eastAsia="Times New Roman" w:hAnsi="Times New Roman" w:cs="Times New Roman"/>
                <w:sz w:val="20"/>
                <w:szCs w:val="20"/>
              </w:rPr>
              <w:t>9</w:t>
            </w:r>
            <w:r w:rsidRPr="00EB6BEB">
              <w:rPr>
                <w:rFonts w:ascii="Times New Roman" w:eastAsia="Times New Roman" w:hAnsi="Times New Roman" w:cs="Times New Roman"/>
                <w:sz w:val="20"/>
                <w:szCs w:val="20"/>
                <w:lang w:val="sr-Cyrl-CS"/>
              </w:rPr>
              <w:t>8</w:t>
            </w:r>
          </w:p>
        </w:tc>
      </w:tr>
      <w:tr w:rsidR="00EB6BEB" w:rsidRPr="00EB6BEB" w:rsidTr="00A8404D">
        <w:tblPrEx>
          <w:tblLook w:val="04A0" w:firstRow="1" w:lastRow="0" w:firstColumn="1" w:lastColumn="0" w:noHBand="0" w:noVBand="1"/>
        </w:tblPrEx>
        <w:trPr>
          <w:jc w:val="center"/>
        </w:trPr>
        <w:tc>
          <w:tcPr>
            <w:tcW w:w="1082" w:type="dxa"/>
            <w:shd w:val="clear" w:color="auto" w:fill="auto"/>
            <w:vAlign w:val="center"/>
          </w:tcPr>
          <w:p w:rsidR="00EB6BEB" w:rsidRPr="00EB6BEB" w:rsidRDefault="00EB6BEB" w:rsidP="00EB6BEB">
            <w:pPr>
              <w:tabs>
                <w:tab w:val="left" w:pos="1885"/>
              </w:tabs>
              <w:spacing w:after="0" w:line="240" w:lineRule="auto"/>
              <w:rPr>
                <w:rFonts w:ascii="Times New Roman" w:eastAsia="Times New Roman" w:hAnsi="Times New Roman" w:cs="Times New Roman"/>
                <w:b/>
                <w:sz w:val="20"/>
                <w:szCs w:val="20"/>
              </w:rPr>
            </w:pPr>
            <w:r w:rsidRPr="00EB6BEB">
              <w:rPr>
                <w:rFonts w:ascii="Times New Roman" w:eastAsia="Times New Roman" w:hAnsi="Times New Roman" w:cs="Times New Roman"/>
                <w:b/>
                <w:sz w:val="20"/>
                <w:szCs w:val="20"/>
              </w:rPr>
              <w:t>Страни понуђачи</w:t>
            </w:r>
          </w:p>
        </w:tc>
        <w:tc>
          <w:tcPr>
            <w:tcW w:w="656"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sz w:val="20"/>
                <w:szCs w:val="20"/>
              </w:rPr>
            </w:pPr>
            <w:r w:rsidRPr="00EB6BEB">
              <w:rPr>
                <w:rFonts w:ascii="Times New Roman" w:eastAsia="Times New Roman" w:hAnsi="Times New Roman" w:cs="Times New Roman"/>
                <w:sz w:val="20"/>
                <w:szCs w:val="20"/>
              </w:rPr>
              <w:t>20</w:t>
            </w:r>
          </w:p>
        </w:tc>
        <w:tc>
          <w:tcPr>
            <w:tcW w:w="656"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sz w:val="20"/>
                <w:szCs w:val="20"/>
              </w:rPr>
            </w:pPr>
            <w:r w:rsidRPr="00EB6BEB">
              <w:rPr>
                <w:rFonts w:ascii="Times New Roman" w:eastAsia="Times New Roman" w:hAnsi="Times New Roman" w:cs="Times New Roman"/>
                <w:sz w:val="20"/>
                <w:szCs w:val="20"/>
              </w:rPr>
              <w:t>16</w:t>
            </w:r>
          </w:p>
        </w:tc>
        <w:tc>
          <w:tcPr>
            <w:tcW w:w="656"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sz w:val="20"/>
                <w:szCs w:val="20"/>
              </w:rPr>
            </w:pPr>
            <w:r w:rsidRPr="00EB6BEB">
              <w:rPr>
                <w:rFonts w:ascii="Times New Roman" w:eastAsia="Times New Roman" w:hAnsi="Times New Roman" w:cs="Times New Roman"/>
                <w:sz w:val="20"/>
                <w:szCs w:val="20"/>
              </w:rPr>
              <w:t>9</w:t>
            </w:r>
          </w:p>
        </w:tc>
        <w:tc>
          <w:tcPr>
            <w:tcW w:w="656"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sz w:val="20"/>
                <w:szCs w:val="20"/>
              </w:rPr>
            </w:pPr>
            <w:r w:rsidRPr="00EB6BEB">
              <w:rPr>
                <w:rFonts w:ascii="Times New Roman" w:eastAsia="Times New Roman" w:hAnsi="Times New Roman" w:cs="Times New Roman"/>
                <w:sz w:val="20"/>
                <w:szCs w:val="20"/>
              </w:rPr>
              <w:t>9</w:t>
            </w:r>
          </w:p>
        </w:tc>
        <w:tc>
          <w:tcPr>
            <w:tcW w:w="656"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sz w:val="20"/>
                <w:szCs w:val="20"/>
              </w:rPr>
            </w:pPr>
            <w:r w:rsidRPr="00EB6BEB">
              <w:rPr>
                <w:rFonts w:ascii="Times New Roman" w:eastAsia="Times New Roman" w:hAnsi="Times New Roman" w:cs="Times New Roman"/>
                <w:sz w:val="20"/>
                <w:szCs w:val="20"/>
              </w:rPr>
              <w:t>10</w:t>
            </w:r>
          </w:p>
        </w:tc>
        <w:tc>
          <w:tcPr>
            <w:tcW w:w="656"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sz w:val="20"/>
                <w:szCs w:val="20"/>
              </w:rPr>
            </w:pPr>
            <w:r w:rsidRPr="00EB6BEB">
              <w:rPr>
                <w:rFonts w:ascii="Times New Roman" w:eastAsia="Times New Roman" w:hAnsi="Times New Roman" w:cs="Times New Roman"/>
                <w:sz w:val="20"/>
                <w:szCs w:val="20"/>
              </w:rPr>
              <w:t>4</w:t>
            </w:r>
          </w:p>
        </w:tc>
        <w:tc>
          <w:tcPr>
            <w:tcW w:w="656"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sz w:val="20"/>
                <w:szCs w:val="20"/>
              </w:rPr>
            </w:pPr>
            <w:r w:rsidRPr="00EB6BEB">
              <w:rPr>
                <w:rFonts w:ascii="Times New Roman" w:eastAsia="Times New Roman" w:hAnsi="Times New Roman" w:cs="Times New Roman"/>
                <w:sz w:val="20"/>
                <w:szCs w:val="20"/>
              </w:rPr>
              <w:t>7</w:t>
            </w:r>
          </w:p>
        </w:tc>
        <w:tc>
          <w:tcPr>
            <w:tcW w:w="656"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sz w:val="20"/>
                <w:szCs w:val="20"/>
              </w:rPr>
            </w:pPr>
            <w:r w:rsidRPr="00EB6BEB">
              <w:rPr>
                <w:rFonts w:ascii="Times New Roman" w:eastAsia="Times New Roman" w:hAnsi="Times New Roman" w:cs="Times New Roman"/>
                <w:sz w:val="20"/>
                <w:szCs w:val="20"/>
              </w:rPr>
              <w:t>4</w:t>
            </w:r>
          </w:p>
        </w:tc>
        <w:tc>
          <w:tcPr>
            <w:tcW w:w="546"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sz w:val="20"/>
                <w:szCs w:val="20"/>
              </w:rPr>
            </w:pPr>
            <w:r w:rsidRPr="00EB6BEB">
              <w:rPr>
                <w:rFonts w:ascii="Times New Roman" w:eastAsia="Times New Roman" w:hAnsi="Times New Roman" w:cs="Times New Roman"/>
                <w:sz w:val="20"/>
                <w:szCs w:val="20"/>
              </w:rPr>
              <w:t>3</w:t>
            </w:r>
          </w:p>
        </w:tc>
        <w:tc>
          <w:tcPr>
            <w:tcW w:w="652"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sz w:val="20"/>
                <w:szCs w:val="20"/>
              </w:rPr>
            </w:pPr>
            <w:r w:rsidRPr="00EB6BEB">
              <w:rPr>
                <w:rFonts w:ascii="Times New Roman" w:eastAsia="Times New Roman" w:hAnsi="Times New Roman" w:cs="Times New Roman"/>
                <w:sz w:val="20"/>
                <w:szCs w:val="20"/>
              </w:rPr>
              <w:t>2</w:t>
            </w:r>
          </w:p>
        </w:tc>
        <w:tc>
          <w:tcPr>
            <w:tcW w:w="599"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sz w:val="20"/>
                <w:szCs w:val="20"/>
              </w:rPr>
            </w:pPr>
            <w:r w:rsidRPr="00EB6BEB">
              <w:rPr>
                <w:rFonts w:ascii="Times New Roman" w:eastAsia="Times New Roman" w:hAnsi="Times New Roman" w:cs="Times New Roman"/>
                <w:sz w:val="20"/>
                <w:szCs w:val="20"/>
              </w:rPr>
              <w:t>12</w:t>
            </w:r>
          </w:p>
        </w:tc>
        <w:tc>
          <w:tcPr>
            <w:tcW w:w="785" w:type="dxa"/>
            <w:shd w:val="clear" w:color="auto" w:fill="auto"/>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sz w:val="20"/>
                <w:szCs w:val="20"/>
                <w:lang w:val="sr-Cyrl-CS"/>
              </w:rPr>
            </w:pPr>
            <w:r w:rsidRPr="00EB6BEB">
              <w:rPr>
                <w:rFonts w:ascii="Times New Roman" w:eastAsia="Times New Roman" w:hAnsi="Times New Roman" w:cs="Times New Roman"/>
                <w:sz w:val="20"/>
                <w:szCs w:val="20"/>
                <w:lang w:val="sr-Cyrl-CS"/>
              </w:rPr>
              <w:t>4</w:t>
            </w:r>
          </w:p>
        </w:tc>
        <w:tc>
          <w:tcPr>
            <w:tcW w:w="1153" w:type="dxa"/>
            <w:vAlign w:val="center"/>
          </w:tcPr>
          <w:p w:rsidR="00EB6BEB" w:rsidRPr="00EB6BEB" w:rsidRDefault="00EB6BEB" w:rsidP="00EB6BEB">
            <w:pPr>
              <w:tabs>
                <w:tab w:val="left" w:pos="1885"/>
              </w:tabs>
              <w:spacing w:after="0" w:line="240" w:lineRule="auto"/>
              <w:jc w:val="center"/>
              <w:rPr>
                <w:rFonts w:ascii="Times New Roman" w:eastAsia="Times New Roman" w:hAnsi="Times New Roman" w:cs="Times New Roman"/>
                <w:sz w:val="20"/>
                <w:szCs w:val="20"/>
                <w:lang w:val="sr-Cyrl-CS"/>
              </w:rPr>
            </w:pPr>
            <w:r w:rsidRPr="00EB6BEB">
              <w:rPr>
                <w:rFonts w:ascii="Times New Roman" w:eastAsia="Times New Roman" w:hAnsi="Times New Roman" w:cs="Times New Roman"/>
                <w:sz w:val="20"/>
                <w:szCs w:val="20"/>
                <w:lang w:val="sr-Cyrl-CS"/>
              </w:rPr>
              <w:t>2</w:t>
            </w:r>
          </w:p>
        </w:tc>
      </w:tr>
    </w:tbl>
    <w:p w:rsidR="007655FB" w:rsidRDefault="007655FB" w:rsidP="008844FD">
      <w:pPr>
        <w:jc w:val="both"/>
        <w:rPr>
          <w:rFonts w:ascii="Times New Roman" w:hAnsi="Times New Roman" w:cs="Times New Roman"/>
          <w:sz w:val="24"/>
          <w:szCs w:val="24"/>
        </w:rPr>
      </w:pPr>
    </w:p>
    <w:p w:rsidR="00D23077" w:rsidRPr="00B45187" w:rsidRDefault="00B55F55" w:rsidP="00B45187">
      <w:pPr>
        <w:jc w:val="both"/>
        <w:rPr>
          <w:rFonts w:ascii="Times New Roman" w:hAnsi="Times New Roman" w:cs="Times New Roman"/>
          <w:sz w:val="24"/>
          <w:szCs w:val="24"/>
        </w:rPr>
      </w:pPr>
      <w:r w:rsidRPr="00B55F55">
        <w:rPr>
          <w:rFonts w:ascii="Times New Roman" w:hAnsi="Times New Roman" w:cs="Times New Roman"/>
          <w:sz w:val="24"/>
          <w:szCs w:val="24"/>
        </w:rPr>
        <w:t>Удео понуђача из ЕУ</w:t>
      </w:r>
      <w:r w:rsidR="00B92EF5">
        <w:rPr>
          <w:rFonts w:ascii="Times New Roman" w:hAnsi="Times New Roman" w:cs="Times New Roman"/>
          <w:sz w:val="24"/>
          <w:szCs w:val="24"/>
        </w:rPr>
        <w:t>,</w:t>
      </w:r>
      <w:r w:rsidRPr="00B55F55">
        <w:rPr>
          <w:rFonts w:ascii="Times New Roman" w:hAnsi="Times New Roman" w:cs="Times New Roman"/>
          <w:sz w:val="24"/>
          <w:szCs w:val="24"/>
        </w:rPr>
        <w:t xml:space="preserve"> у </w:t>
      </w:r>
      <w:r w:rsidR="00BE2126">
        <w:rPr>
          <w:rFonts w:ascii="Times New Roman" w:hAnsi="Times New Roman" w:cs="Times New Roman"/>
          <w:sz w:val="24"/>
          <w:szCs w:val="24"/>
          <w:lang w:val="sr-Cyrl-RS"/>
        </w:rPr>
        <w:t xml:space="preserve">укупној </w:t>
      </w:r>
      <w:r w:rsidRPr="00B55F55">
        <w:rPr>
          <w:rFonts w:ascii="Times New Roman" w:hAnsi="Times New Roman" w:cs="Times New Roman"/>
          <w:sz w:val="24"/>
          <w:szCs w:val="24"/>
        </w:rPr>
        <w:t>вредности закључених уговора</w:t>
      </w:r>
      <w:r w:rsidR="00B92EF5">
        <w:rPr>
          <w:rFonts w:ascii="Times New Roman" w:hAnsi="Times New Roman" w:cs="Times New Roman"/>
          <w:sz w:val="24"/>
          <w:szCs w:val="24"/>
        </w:rPr>
        <w:t>,</w:t>
      </w:r>
      <w:r w:rsidRPr="00B55F55">
        <w:rPr>
          <w:rFonts w:ascii="Times New Roman" w:hAnsi="Times New Roman" w:cs="Times New Roman"/>
          <w:sz w:val="24"/>
          <w:szCs w:val="24"/>
        </w:rPr>
        <w:t xml:space="preserve"> износио је </w:t>
      </w:r>
      <w:r w:rsidR="000665FD">
        <w:rPr>
          <w:rFonts w:ascii="Times New Roman" w:hAnsi="Times New Roman" w:cs="Times New Roman"/>
          <w:sz w:val="24"/>
          <w:szCs w:val="24"/>
        </w:rPr>
        <w:t>1</w:t>
      </w:r>
      <w:r w:rsidRPr="00B55F55">
        <w:rPr>
          <w:rFonts w:ascii="Times New Roman" w:hAnsi="Times New Roman" w:cs="Times New Roman"/>
          <w:sz w:val="24"/>
          <w:szCs w:val="24"/>
        </w:rPr>
        <w:t xml:space="preserve">%, </w:t>
      </w:r>
      <w:r w:rsidR="00B92EF5">
        <w:rPr>
          <w:rFonts w:ascii="Times New Roman" w:hAnsi="Times New Roman" w:cs="Times New Roman"/>
          <w:sz w:val="24"/>
          <w:szCs w:val="24"/>
        </w:rPr>
        <w:t xml:space="preserve">колико и понуђача из земаља ван ЕУ </w:t>
      </w:r>
      <w:r w:rsidR="00F40367">
        <w:rPr>
          <w:rFonts w:ascii="Times New Roman" w:hAnsi="Times New Roman" w:cs="Times New Roman"/>
          <w:sz w:val="24"/>
          <w:szCs w:val="24"/>
        </w:rPr>
        <w:t>(С</w:t>
      </w:r>
      <w:r w:rsidR="00263B08">
        <w:rPr>
          <w:rFonts w:ascii="Times New Roman" w:hAnsi="Times New Roman" w:cs="Times New Roman"/>
          <w:sz w:val="24"/>
          <w:szCs w:val="24"/>
        </w:rPr>
        <w:t>лика 1</w:t>
      </w:r>
      <w:r w:rsidR="000665FD">
        <w:rPr>
          <w:rFonts w:ascii="Times New Roman" w:hAnsi="Times New Roman" w:cs="Times New Roman"/>
          <w:sz w:val="24"/>
          <w:szCs w:val="24"/>
        </w:rPr>
        <w:t>1</w:t>
      </w:r>
      <w:r>
        <w:rPr>
          <w:rFonts w:ascii="Times New Roman" w:hAnsi="Times New Roman" w:cs="Times New Roman"/>
          <w:sz w:val="24"/>
          <w:szCs w:val="24"/>
        </w:rPr>
        <w:t>)</w:t>
      </w:r>
      <w:r w:rsidR="00B92EF5">
        <w:rPr>
          <w:rFonts w:ascii="Times New Roman" w:hAnsi="Times New Roman" w:cs="Times New Roman"/>
          <w:sz w:val="24"/>
          <w:szCs w:val="24"/>
        </w:rPr>
        <w:t>.</w:t>
      </w:r>
    </w:p>
    <w:p w:rsidR="00D23077" w:rsidRDefault="00D23077" w:rsidP="00482558">
      <w:pPr>
        <w:rPr>
          <w:rFonts w:ascii="Times New Roman" w:hAnsi="Times New Roman" w:cs="Times New Roman"/>
          <w:b/>
          <w:color w:val="FF0000"/>
          <w:sz w:val="24"/>
          <w:szCs w:val="24"/>
        </w:rPr>
      </w:pPr>
    </w:p>
    <w:p w:rsidR="00D631F1" w:rsidRPr="00D631F1" w:rsidRDefault="00D631F1" w:rsidP="00482558">
      <w:pPr>
        <w:rPr>
          <w:rFonts w:ascii="Times New Roman" w:hAnsi="Times New Roman" w:cs="Times New Roman"/>
          <w:b/>
          <w:color w:val="FF0000"/>
          <w:sz w:val="24"/>
          <w:szCs w:val="24"/>
        </w:rPr>
      </w:pPr>
    </w:p>
    <w:p w:rsidR="00174F35" w:rsidRDefault="00174F35" w:rsidP="009B3038">
      <w:pPr>
        <w:jc w:val="center"/>
        <w:rPr>
          <w:rFonts w:ascii="Times New Roman" w:hAnsi="Times New Roman" w:cs="Times New Roman"/>
          <w:b/>
          <w:color w:val="FF0000"/>
          <w:sz w:val="24"/>
          <w:szCs w:val="24"/>
          <w:lang w:val="sr-Cyrl-RS"/>
        </w:rPr>
      </w:pPr>
    </w:p>
    <w:p w:rsidR="00174F35" w:rsidRDefault="00174F35" w:rsidP="009B3038">
      <w:pPr>
        <w:jc w:val="center"/>
        <w:rPr>
          <w:rFonts w:ascii="Times New Roman" w:hAnsi="Times New Roman" w:cs="Times New Roman"/>
          <w:b/>
          <w:color w:val="FF0000"/>
          <w:sz w:val="24"/>
          <w:szCs w:val="24"/>
          <w:lang w:val="sr-Cyrl-RS"/>
        </w:rPr>
      </w:pPr>
    </w:p>
    <w:p w:rsidR="00637BC6" w:rsidRPr="001A588E" w:rsidRDefault="00805B37" w:rsidP="00805B37">
      <w:pPr>
        <w:rPr>
          <w:rFonts w:ascii="Times New Roman" w:hAnsi="Times New Roman" w:cs="Times New Roman"/>
          <w:sz w:val="24"/>
          <w:szCs w:val="24"/>
        </w:rPr>
      </w:pPr>
      <w:r>
        <w:rPr>
          <w:rFonts w:ascii="Times New Roman" w:hAnsi="Times New Roman" w:cs="Times New Roman"/>
          <w:b/>
          <w:sz w:val="24"/>
          <w:szCs w:val="24"/>
          <w:lang w:val="sr-Cyrl-RS"/>
        </w:rPr>
        <w:lastRenderedPageBreak/>
        <w:t xml:space="preserve">                                                                           </w:t>
      </w:r>
      <w:r w:rsidR="00FD42B3" w:rsidRPr="001A588E">
        <w:rPr>
          <w:rFonts w:ascii="Times New Roman" w:hAnsi="Times New Roman" w:cs="Times New Roman"/>
          <w:b/>
          <w:sz w:val="24"/>
          <w:szCs w:val="24"/>
        </w:rPr>
        <w:t>Слика 1</w:t>
      </w:r>
      <w:r w:rsidR="000665FD" w:rsidRPr="001A588E">
        <w:rPr>
          <w:rFonts w:ascii="Times New Roman" w:hAnsi="Times New Roman" w:cs="Times New Roman"/>
          <w:b/>
          <w:sz w:val="24"/>
          <w:szCs w:val="24"/>
        </w:rPr>
        <w:t>1</w:t>
      </w:r>
    </w:p>
    <w:p w:rsidR="00D14DA3" w:rsidRDefault="00805B37" w:rsidP="00805B37">
      <w:pPr>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010D15" w:rsidRPr="004A1464">
        <w:rPr>
          <w:rFonts w:ascii="Times New Roman" w:hAnsi="Times New Roman" w:cs="Times New Roman"/>
          <w:sz w:val="24"/>
          <w:szCs w:val="24"/>
        </w:rPr>
        <w:object w:dxaOrig="7853" w:dyaOrig="6305">
          <v:shape id="_x0000_i1036" type="#_x0000_t75" style="width:370.2pt;height:257.45pt" o:ole="">
            <v:imagedata r:id="rId38" o:title=""/>
          </v:shape>
          <o:OLEObject Type="Embed" ProgID="Excel.Sheet.12" ShapeID="_x0000_i1036" DrawAspect="Content" ObjectID="_1471688943" r:id="rId39"/>
        </w:object>
      </w:r>
      <w:bookmarkStart w:id="8" w:name="_GoBack"/>
      <w:bookmarkEnd w:id="8"/>
    </w:p>
    <w:p w:rsidR="008449E3" w:rsidRPr="008449E3" w:rsidRDefault="008449E3" w:rsidP="00622F21">
      <w:pPr>
        <w:jc w:val="center"/>
        <w:rPr>
          <w:rFonts w:ascii="Times New Roman" w:hAnsi="Times New Roman" w:cs="Times New Roman"/>
          <w:sz w:val="24"/>
          <w:szCs w:val="24"/>
          <w:lang w:val="sr-Cyrl-RS"/>
        </w:rPr>
      </w:pPr>
    </w:p>
    <w:p w:rsidR="00023ACB" w:rsidRPr="007B4B66" w:rsidRDefault="00786C64" w:rsidP="007B4B66">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t>ИЗВРШЕЊЕ И ИЗМЕНЕ УГОВОРА</w:t>
      </w:r>
    </w:p>
    <w:p w:rsidR="007B4B66" w:rsidRDefault="00936D4F" w:rsidP="003C3BC0">
      <w:pPr>
        <w:jc w:val="both"/>
        <w:rPr>
          <w:rFonts w:ascii="Times New Roman" w:hAnsi="Times New Roman" w:cs="Times New Roman"/>
          <w:sz w:val="24"/>
          <w:szCs w:val="24"/>
        </w:rPr>
      </w:pPr>
      <w:r>
        <w:rPr>
          <w:rFonts w:ascii="Times New Roman" w:hAnsi="Times New Roman" w:cs="Times New Roman"/>
          <w:sz w:val="24"/>
          <w:szCs w:val="24"/>
        </w:rPr>
        <w:t>Нови</w:t>
      </w:r>
      <w:r>
        <w:rPr>
          <w:rFonts w:ascii="Times New Roman" w:hAnsi="Times New Roman" w:cs="Times New Roman"/>
          <w:sz w:val="24"/>
          <w:szCs w:val="24"/>
          <w:lang w:val="sr-Cyrl-RS"/>
        </w:rPr>
        <w:t xml:space="preserve"> </w:t>
      </w:r>
      <w:r w:rsidR="007B4B66" w:rsidRPr="007B4B66">
        <w:rPr>
          <w:rFonts w:ascii="Times New Roman" w:hAnsi="Times New Roman" w:cs="Times New Roman"/>
          <w:sz w:val="24"/>
          <w:szCs w:val="24"/>
        </w:rPr>
        <w:t xml:space="preserve">Закон предвидео је механизам праћења и контроле извршења уговора, </w:t>
      </w:r>
      <w:r w:rsidR="008B47BC">
        <w:rPr>
          <w:rFonts w:ascii="Times New Roman" w:hAnsi="Times New Roman" w:cs="Times New Roman"/>
          <w:sz w:val="24"/>
          <w:szCs w:val="24"/>
          <w:lang w:val="sr-Cyrl-RS"/>
        </w:rPr>
        <w:t>чије одсуство је представљало</w:t>
      </w:r>
      <w:r w:rsidR="007B4B66" w:rsidRPr="007B4B66">
        <w:rPr>
          <w:rFonts w:ascii="Times New Roman" w:hAnsi="Times New Roman" w:cs="Times New Roman"/>
          <w:sz w:val="24"/>
          <w:szCs w:val="24"/>
        </w:rPr>
        <w:t xml:space="preserve"> велик</w:t>
      </w:r>
      <w:r w:rsidR="008B47BC">
        <w:rPr>
          <w:rFonts w:ascii="Times New Roman" w:hAnsi="Times New Roman" w:cs="Times New Roman"/>
          <w:sz w:val="24"/>
          <w:szCs w:val="24"/>
          <w:lang w:val="sr-Cyrl-RS"/>
        </w:rPr>
        <w:t>у</w:t>
      </w:r>
      <w:r w:rsidR="007B4B66" w:rsidRPr="007B4B66">
        <w:rPr>
          <w:rFonts w:ascii="Times New Roman" w:hAnsi="Times New Roman" w:cs="Times New Roman"/>
          <w:sz w:val="24"/>
          <w:szCs w:val="24"/>
        </w:rPr>
        <w:t xml:space="preserve"> слабост у претходном периоду</w:t>
      </w:r>
      <w:r w:rsidR="008B47BC">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тако да</w:t>
      </w:r>
      <w:r w:rsidR="008B47BC">
        <w:rPr>
          <w:rFonts w:ascii="Times New Roman" w:hAnsi="Times New Roman" w:cs="Times New Roman"/>
          <w:sz w:val="24"/>
          <w:szCs w:val="24"/>
          <w:lang w:val="sr-Cyrl-RS"/>
        </w:rPr>
        <w:t xml:space="preserve"> се с</w:t>
      </w:r>
      <w:r w:rsidR="008B47BC">
        <w:rPr>
          <w:rFonts w:ascii="Times New Roman" w:hAnsi="Times New Roman" w:cs="Times New Roman"/>
          <w:sz w:val="24"/>
          <w:szCs w:val="24"/>
        </w:rPr>
        <w:t>твара</w:t>
      </w:r>
      <w:r w:rsidR="007B4B66" w:rsidRPr="007B4B66">
        <w:rPr>
          <w:rFonts w:ascii="Times New Roman" w:hAnsi="Times New Roman" w:cs="Times New Roman"/>
          <w:sz w:val="24"/>
          <w:szCs w:val="24"/>
        </w:rPr>
        <w:t xml:space="preserve">о простор за бројне злоупотребе. </w:t>
      </w:r>
      <w:r w:rsidR="008B47BC">
        <w:rPr>
          <w:rFonts w:ascii="Times New Roman" w:hAnsi="Times New Roman" w:cs="Times New Roman"/>
          <w:sz w:val="24"/>
          <w:szCs w:val="24"/>
          <w:lang w:val="sr-Cyrl-RS"/>
        </w:rPr>
        <w:t>Новоуведено р</w:t>
      </w:r>
      <w:r w:rsidR="007B4B66" w:rsidRPr="007B4B66">
        <w:rPr>
          <w:rFonts w:ascii="Times New Roman" w:hAnsi="Times New Roman" w:cs="Times New Roman"/>
          <w:sz w:val="24"/>
          <w:szCs w:val="24"/>
        </w:rPr>
        <w:t xml:space="preserve">ешење </w:t>
      </w:r>
      <w:r w:rsidR="008B47BC">
        <w:rPr>
          <w:rFonts w:ascii="Times New Roman" w:hAnsi="Times New Roman" w:cs="Times New Roman"/>
          <w:sz w:val="24"/>
          <w:szCs w:val="24"/>
          <w:lang w:val="sr-Cyrl-RS"/>
        </w:rPr>
        <w:t>подразумева</w:t>
      </w:r>
      <w:r>
        <w:rPr>
          <w:rFonts w:ascii="Times New Roman" w:hAnsi="Times New Roman" w:cs="Times New Roman"/>
          <w:sz w:val="24"/>
          <w:szCs w:val="24"/>
          <w:lang w:val="sr-Cyrl-RS"/>
        </w:rPr>
        <w:t xml:space="preserve"> да је</w:t>
      </w:r>
      <w:r w:rsidR="007B4B66" w:rsidRPr="007B4B66">
        <w:rPr>
          <w:rFonts w:ascii="Times New Roman" w:hAnsi="Times New Roman" w:cs="Times New Roman"/>
          <w:sz w:val="24"/>
          <w:szCs w:val="24"/>
        </w:rPr>
        <w:t xml:space="preserve"> наручилац у обавези да Одлуку о измени уговора објави на Порталу, уз истовремено достављање извештаја о измени уговора У</w:t>
      </w:r>
      <w:r w:rsidR="003D0488">
        <w:rPr>
          <w:rFonts w:ascii="Times New Roman" w:hAnsi="Times New Roman" w:cs="Times New Roman"/>
          <w:sz w:val="24"/>
          <w:szCs w:val="24"/>
        </w:rPr>
        <w:t>п</w:t>
      </w:r>
      <w:r w:rsidR="007B4B66" w:rsidRPr="007B4B66">
        <w:rPr>
          <w:rFonts w:ascii="Times New Roman" w:hAnsi="Times New Roman" w:cs="Times New Roman"/>
          <w:sz w:val="24"/>
          <w:szCs w:val="24"/>
        </w:rPr>
        <w:t xml:space="preserve">рави и Државној ревизорској институцији (ДРИ). На тај начин се значајно повећала транспарентност финалне </w:t>
      </w:r>
      <w:r w:rsidR="003E12CB">
        <w:rPr>
          <w:rFonts w:ascii="Times New Roman" w:hAnsi="Times New Roman" w:cs="Times New Roman"/>
          <w:sz w:val="24"/>
          <w:szCs w:val="24"/>
        </w:rPr>
        <w:t>фазе јавне набавке (реализације</w:t>
      </w:r>
      <w:r w:rsidR="003E12CB">
        <w:rPr>
          <w:rFonts w:ascii="Times New Roman" w:hAnsi="Times New Roman" w:cs="Times New Roman"/>
          <w:sz w:val="24"/>
          <w:szCs w:val="24"/>
          <w:lang w:val="sr-Cyrl-RS"/>
        </w:rPr>
        <w:t xml:space="preserve"> </w:t>
      </w:r>
      <w:r w:rsidR="007B4B66" w:rsidRPr="007B4B66">
        <w:rPr>
          <w:rFonts w:ascii="Times New Roman" w:hAnsi="Times New Roman" w:cs="Times New Roman"/>
          <w:sz w:val="24"/>
          <w:szCs w:val="24"/>
        </w:rPr>
        <w:t xml:space="preserve">уговора) и омогућило реаговање на накнадна одступања од услова из конкурсне документације и уговора која су раније често била присутна, управо услед одсуства праћења и контроле. Уколико Управа или ДРИ утврде да је дошло до недозвољене промене уговора, Закон предвиђа </w:t>
      </w:r>
      <w:r>
        <w:rPr>
          <w:rFonts w:ascii="Times New Roman" w:hAnsi="Times New Roman" w:cs="Times New Roman"/>
          <w:sz w:val="24"/>
          <w:szCs w:val="24"/>
          <w:lang w:val="sr-Cyrl-RS"/>
        </w:rPr>
        <w:t xml:space="preserve">обавезу  подношења </w:t>
      </w:r>
      <w:r w:rsidR="007B4B66" w:rsidRPr="007B4B66">
        <w:rPr>
          <w:rFonts w:ascii="Times New Roman" w:hAnsi="Times New Roman" w:cs="Times New Roman"/>
          <w:sz w:val="24"/>
          <w:szCs w:val="24"/>
        </w:rPr>
        <w:t>прекршајне пријаве против наручиоца.</w:t>
      </w:r>
    </w:p>
    <w:p w:rsidR="0009577C" w:rsidRPr="003E12CB" w:rsidRDefault="00DD7D04" w:rsidP="0009577C">
      <w:pPr>
        <w:jc w:val="both"/>
        <w:rPr>
          <w:rFonts w:ascii="Times New Roman" w:hAnsi="Times New Roman" w:cs="Times New Roman"/>
          <w:sz w:val="24"/>
          <w:szCs w:val="24"/>
          <w:lang w:val="sr-Cyrl-RS"/>
        </w:rPr>
      </w:pPr>
      <w:r w:rsidRPr="00DD7D04">
        <w:rPr>
          <w:rFonts w:ascii="Times New Roman" w:hAnsi="Times New Roman" w:cs="Times New Roman"/>
          <w:sz w:val="24"/>
          <w:szCs w:val="24"/>
        </w:rPr>
        <w:t>У Табели</w:t>
      </w:r>
      <w:r w:rsidR="00174F35">
        <w:rPr>
          <w:rFonts w:ascii="Times New Roman" w:hAnsi="Times New Roman" w:cs="Times New Roman"/>
          <w:sz w:val="24"/>
          <w:szCs w:val="24"/>
          <w:lang w:val="sr-Cyrl-RS"/>
        </w:rPr>
        <w:t xml:space="preserve"> </w:t>
      </w:r>
      <w:r w:rsidR="00A67E3E">
        <w:rPr>
          <w:rFonts w:ascii="Times New Roman" w:hAnsi="Times New Roman" w:cs="Times New Roman"/>
          <w:sz w:val="24"/>
          <w:szCs w:val="24"/>
        </w:rPr>
        <w:t xml:space="preserve">8 </w:t>
      </w:r>
      <w:r>
        <w:rPr>
          <w:rFonts w:ascii="Times New Roman" w:hAnsi="Times New Roman" w:cs="Times New Roman"/>
          <w:sz w:val="24"/>
          <w:szCs w:val="24"/>
        </w:rPr>
        <w:t xml:space="preserve">дати су подаци о броју </w:t>
      </w:r>
      <w:r w:rsidR="003E12CB">
        <w:rPr>
          <w:rFonts w:ascii="Times New Roman" w:hAnsi="Times New Roman" w:cs="Times New Roman"/>
          <w:sz w:val="24"/>
          <w:szCs w:val="24"/>
          <w:lang w:val="sr-Cyrl-RS"/>
        </w:rPr>
        <w:t xml:space="preserve">уговора који су </w:t>
      </w:r>
      <w:r>
        <w:rPr>
          <w:rFonts w:ascii="Times New Roman" w:hAnsi="Times New Roman" w:cs="Times New Roman"/>
          <w:sz w:val="24"/>
          <w:szCs w:val="24"/>
        </w:rPr>
        <w:t>реал</w:t>
      </w:r>
      <w:r w:rsidR="003E12CB">
        <w:rPr>
          <w:rFonts w:ascii="Times New Roman" w:hAnsi="Times New Roman" w:cs="Times New Roman"/>
          <w:sz w:val="24"/>
          <w:szCs w:val="24"/>
        </w:rPr>
        <w:t>изовани</w:t>
      </w:r>
      <w:r>
        <w:rPr>
          <w:rFonts w:ascii="Times New Roman" w:hAnsi="Times New Roman" w:cs="Times New Roman"/>
          <w:sz w:val="24"/>
          <w:szCs w:val="24"/>
        </w:rPr>
        <w:t xml:space="preserve"> у </w:t>
      </w:r>
      <w:r w:rsidR="00505BD3">
        <w:rPr>
          <w:rFonts w:ascii="Times New Roman" w:hAnsi="Times New Roman" w:cs="Times New Roman"/>
          <w:sz w:val="24"/>
          <w:szCs w:val="24"/>
        </w:rPr>
        <w:t xml:space="preserve">првом полугодишту </w:t>
      </w:r>
      <w:r w:rsidR="00ED277B">
        <w:rPr>
          <w:rFonts w:ascii="Times New Roman" w:hAnsi="Times New Roman" w:cs="Times New Roman"/>
          <w:sz w:val="24"/>
          <w:szCs w:val="24"/>
        </w:rPr>
        <w:t>201</w:t>
      </w:r>
      <w:r w:rsidR="00505BD3">
        <w:rPr>
          <w:rFonts w:ascii="Times New Roman" w:hAnsi="Times New Roman" w:cs="Times New Roman"/>
          <w:sz w:val="24"/>
          <w:szCs w:val="24"/>
        </w:rPr>
        <w:t>4</w:t>
      </w:r>
      <w:r w:rsidR="00ED277B">
        <w:rPr>
          <w:rFonts w:ascii="Times New Roman" w:hAnsi="Times New Roman" w:cs="Times New Roman"/>
          <w:sz w:val="24"/>
          <w:szCs w:val="24"/>
        </w:rPr>
        <w:t>. годин</w:t>
      </w:r>
      <w:r w:rsidR="00505BD3">
        <w:rPr>
          <w:rFonts w:ascii="Times New Roman" w:hAnsi="Times New Roman" w:cs="Times New Roman"/>
          <w:sz w:val="24"/>
          <w:szCs w:val="24"/>
        </w:rPr>
        <w:t>е</w:t>
      </w:r>
      <w:r>
        <w:rPr>
          <w:rFonts w:ascii="Times New Roman" w:hAnsi="Times New Roman" w:cs="Times New Roman"/>
          <w:sz w:val="24"/>
          <w:szCs w:val="24"/>
        </w:rPr>
        <w:t xml:space="preserve">, </w:t>
      </w:r>
      <w:r w:rsidR="003E12CB">
        <w:rPr>
          <w:rFonts w:ascii="Times New Roman" w:hAnsi="Times New Roman" w:cs="Times New Roman"/>
          <w:sz w:val="24"/>
          <w:szCs w:val="24"/>
          <w:lang w:val="sr-Cyrl-RS"/>
        </w:rPr>
        <w:t xml:space="preserve">без обзира на датум </w:t>
      </w:r>
      <w:r w:rsidR="00C1387D">
        <w:rPr>
          <w:rFonts w:ascii="Times New Roman" w:hAnsi="Times New Roman" w:cs="Times New Roman"/>
          <w:sz w:val="24"/>
          <w:szCs w:val="24"/>
          <w:lang w:val="sr-Cyrl-RS"/>
        </w:rPr>
        <w:t xml:space="preserve">њиховог </w:t>
      </w:r>
      <w:r w:rsidR="003E12CB">
        <w:rPr>
          <w:rFonts w:ascii="Times New Roman" w:hAnsi="Times New Roman" w:cs="Times New Roman"/>
          <w:sz w:val="24"/>
          <w:szCs w:val="24"/>
          <w:lang w:val="sr-Cyrl-RS"/>
        </w:rPr>
        <w:t xml:space="preserve">закључења, </w:t>
      </w:r>
      <w:r>
        <w:rPr>
          <w:rFonts w:ascii="Times New Roman" w:hAnsi="Times New Roman" w:cs="Times New Roman"/>
          <w:sz w:val="24"/>
          <w:szCs w:val="24"/>
        </w:rPr>
        <w:t>при чему се под реализованим уговором подр</w:t>
      </w:r>
      <w:r w:rsidR="002F4C79">
        <w:rPr>
          <w:rFonts w:ascii="Times New Roman" w:hAnsi="Times New Roman" w:cs="Times New Roman"/>
          <w:sz w:val="24"/>
          <w:szCs w:val="24"/>
        </w:rPr>
        <w:t>а</w:t>
      </w:r>
      <w:r>
        <w:rPr>
          <w:rFonts w:ascii="Times New Roman" w:hAnsi="Times New Roman" w:cs="Times New Roman"/>
          <w:sz w:val="24"/>
          <w:szCs w:val="24"/>
        </w:rPr>
        <w:t xml:space="preserve">зумева да је извршена исплата у целини (колона 2 </w:t>
      </w:r>
      <w:r w:rsidR="00A01819">
        <w:rPr>
          <w:rFonts w:ascii="Times New Roman" w:hAnsi="Times New Roman" w:cs="Times New Roman"/>
          <w:sz w:val="24"/>
          <w:szCs w:val="24"/>
        </w:rPr>
        <w:t xml:space="preserve">у </w:t>
      </w:r>
      <w:r w:rsidR="00A01819" w:rsidRPr="00A93681">
        <w:rPr>
          <w:rFonts w:ascii="Times New Roman" w:hAnsi="Times New Roman" w:cs="Times New Roman"/>
          <w:sz w:val="24"/>
          <w:szCs w:val="24"/>
        </w:rPr>
        <w:t xml:space="preserve">Табели </w:t>
      </w:r>
      <w:r w:rsidR="002070CA" w:rsidRPr="00A93681">
        <w:rPr>
          <w:rFonts w:ascii="Times New Roman" w:hAnsi="Times New Roman" w:cs="Times New Roman"/>
          <w:sz w:val="24"/>
          <w:szCs w:val="24"/>
        </w:rPr>
        <w:t>8</w:t>
      </w:r>
      <w:r w:rsidR="00A01819">
        <w:rPr>
          <w:rFonts w:ascii="Times New Roman" w:hAnsi="Times New Roman" w:cs="Times New Roman"/>
          <w:sz w:val="24"/>
          <w:szCs w:val="24"/>
        </w:rPr>
        <w:t xml:space="preserve">). </w:t>
      </w:r>
      <w:r w:rsidR="00A01819" w:rsidRPr="00A93681">
        <w:rPr>
          <w:rFonts w:ascii="Times New Roman" w:hAnsi="Times New Roman" w:cs="Times New Roman"/>
          <w:sz w:val="24"/>
          <w:szCs w:val="24"/>
        </w:rPr>
        <w:t xml:space="preserve">Табела </w:t>
      </w:r>
      <w:r w:rsidR="002070CA" w:rsidRPr="00A93681">
        <w:rPr>
          <w:rFonts w:ascii="Times New Roman" w:hAnsi="Times New Roman" w:cs="Times New Roman"/>
          <w:sz w:val="24"/>
          <w:szCs w:val="24"/>
        </w:rPr>
        <w:t>8</w:t>
      </w:r>
      <w:r w:rsidR="00786677">
        <w:rPr>
          <w:rFonts w:ascii="Times New Roman" w:hAnsi="Times New Roman" w:cs="Times New Roman"/>
          <w:color w:val="FF0000"/>
          <w:sz w:val="24"/>
          <w:szCs w:val="24"/>
        </w:rPr>
        <w:t xml:space="preserve"> </w:t>
      </w:r>
      <w:r w:rsidR="00A01819">
        <w:rPr>
          <w:rFonts w:ascii="Times New Roman" w:hAnsi="Times New Roman" w:cs="Times New Roman"/>
          <w:sz w:val="24"/>
          <w:szCs w:val="24"/>
        </w:rPr>
        <w:t>такође са</w:t>
      </w:r>
      <w:r>
        <w:rPr>
          <w:rFonts w:ascii="Times New Roman" w:hAnsi="Times New Roman" w:cs="Times New Roman"/>
          <w:sz w:val="24"/>
          <w:szCs w:val="24"/>
        </w:rPr>
        <w:t xml:space="preserve">држи и податке о броју извршених измена </w:t>
      </w:r>
      <w:r w:rsidR="003E12CB">
        <w:rPr>
          <w:rFonts w:ascii="Times New Roman" w:hAnsi="Times New Roman" w:cs="Times New Roman"/>
          <w:sz w:val="24"/>
          <w:szCs w:val="24"/>
          <w:lang w:val="sr-Cyrl-RS"/>
        </w:rPr>
        <w:t xml:space="preserve">наведених </w:t>
      </w:r>
      <w:r>
        <w:rPr>
          <w:rFonts w:ascii="Times New Roman" w:hAnsi="Times New Roman" w:cs="Times New Roman"/>
          <w:sz w:val="24"/>
          <w:szCs w:val="24"/>
        </w:rPr>
        <w:t xml:space="preserve">уговора (колона 3). </w:t>
      </w:r>
      <w:r w:rsidR="002F4C79" w:rsidRPr="005047A3">
        <w:rPr>
          <w:rFonts w:ascii="Times New Roman" w:hAnsi="Times New Roman" w:cs="Times New Roman"/>
          <w:sz w:val="24"/>
          <w:szCs w:val="24"/>
        </w:rPr>
        <w:t>Произ</w:t>
      </w:r>
      <w:r w:rsidR="003E12CB">
        <w:rPr>
          <w:rFonts w:ascii="Times New Roman" w:hAnsi="Times New Roman" w:cs="Times New Roman"/>
          <w:sz w:val="24"/>
          <w:szCs w:val="24"/>
          <w:lang w:val="sr-Cyrl-RS"/>
        </w:rPr>
        <w:t>и</w:t>
      </w:r>
      <w:r w:rsidR="003E12CB">
        <w:rPr>
          <w:rFonts w:ascii="Times New Roman" w:hAnsi="Times New Roman" w:cs="Times New Roman"/>
          <w:sz w:val="24"/>
          <w:szCs w:val="24"/>
        </w:rPr>
        <w:t>л</w:t>
      </w:r>
      <w:r w:rsidR="003E12CB">
        <w:rPr>
          <w:rFonts w:ascii="Times New Roman" w:hAnsi="Times New Roman" w:cs="Times New Roman"/>
          <w:sz w:val="24"/>
          <w:szCs w:val="24"/>
          <w:lang w:val="sr-Cyrl-RS"/>
        </w:rPr>
        <w:t>ази</w:t>
      </w:r>
      <w:r w:rsidR="002F4C79" w:rsidRPr="005047A3">
        <w:rPr>
          <w:rFonts w:ascii="Times New Roman" w:hAnsi="Times New Roman" w:cs="Times New Roman"/>
          <w:sz w:val="24"/>
          <w:szCs w:val="24"/>
        </w:rPr>
        <w:t xml:space="preserve"> да је б</w:t>
      </w:r>
      <w:r w:rsidR="00ED277B" w:rsidRPr="005047A3">
        <w:rPr>
          <w:rFonts w:ascii="Times New Roman" w:hAnsi="Times New Roman" w:cs="Times New Roman"/>
          <w:sz w:val="24"/>
          <w:szCs w:val="24"/>
        </w:rPr>
        <w:t xml:space="preserve">рој измена </w:t>
      </w:r>
      <w:r w:rsidR="0028619F">
        <w:rPr>
          <w:rFonts w:ascii="Times New Roman" w:hAnsi="Times New Roman" w:cs="Times New Roman"/>
          <w:sz w:val="24"/>
          <w:szCs w:val="24"/>
          <w:lang w:val="sr-Cyrl-RS"/>
        </w:rPr>
        <w:t xml:space="preserve">по </w:t>
      </w:r>
      <w:r w:rsidR="0028619F">
        <w:rPr>
          <w:rFonts w:ascii="Times New Roman" w:hAnsi="Times New Roman" w:cs="Times New Roman"/>
          <w:sz w:val="24"/>
          <w:szCs w:val="24"/>
        </w:rPr>
        <w:t>уговор</w:t>
      </w:r>
      <w:r w:rsidR="0028619F">
        <w:rPr>
          <w:rFonts w:ascii="Times New Roman" w:hAnsi="Times New Roman" w:cs="Times New Roman"/>
          <w:sz w:val="24"/>
          <w:szCs w:val="24"/>
          <w:lang w:val="sr-Cyrl-RS"/>
        </w:rPr>
        <w:t>у</w:t>
      </w:r>
      <w:r w:rsidR="00ED277B" w:rsidRPr="005047A3">
        <w:rPr>
          <w:rFonts w:ascii="Times New Roman" w:hAnsi="Times New Roman" w:cs="Times New Roman"/>
          <w:sz w:val="24"/>
          <w:szCs w:val="24"/>
        </w:rPr>
        <w:t xml:space="preserve"> чинио свега </w:t>
      </w:r>
      <w:r w:rsidR="003E12CB">
        <w:rPr>
          <w:rFonts w:ascii="Times New Roman" w:hAnsi="Times New Roman" w:cs="Times New Roman"/>
          <w:sz w:val="24"/>
          <w:szCs w:val="24"/>
          <w:lang w:val="sr-Cyrl-RS"/>
        </w:rPr>
        <w:t>2</w:t>
      </w:r>
      <w:r w:rsidR="002F4C79" w:rsidRPr="005047A3">
        <w:rPr>
          <w:rFonts w:ascii="Times New Roman" w:hAnsi="Times New Roman" w:cs="Times New Roman"/>
          <w:sz w:val="24"/>
          <w:szCs w:val="24"/>
        </w:rPr>
        <w:t xml:space="preserve">% од укупног броја реализованих уговора у </w:t>
      </w:r>
      <w:r w:rsidR="003E12CB">
        <w:rPr>
          <w:rFonts w:ascii="Times New Roman" w:hAnsi="Times New Roman" w:cs="Times New Roman"/>
          <w:sz w:val="24"/>
          <w:szCs w:val="24"/>
          <w:lang w:val="sr-Cyrl-RS"/>
        </w:rPr>
        <w:t>првој половини 2014. године</w:t>
      </w:r>
      <w:r w:rsidR="00786677">
        <w:rPr>
          <w:rFonts w:ascii="Times New Roman" w:hAnsi="Times New Roman" w:cs="Times New Roman"/>
          <w:sz w:val="24"/>
          <w:szCs w:val="24"/>
        </w:rPr>
        <w:t xml:space="preserve"> </w:t>
      </w:r>
      <w:r w:rsidRPr="005047A3">
        <w:rPr>
          <w:rFonts w:ascii="Times New Roman" w:hAnsi="Times New Roman" w:cs="Times New Roman"/>
          <w:sz w:val="24"/>
          <w:szCs w:val="24"/>
        </w:rPr>
        <w:t>(колона 4</w:t>
      </w:r>
      <w:r w:rsidR="002F4C79" w:rsidRPr="005047A3">
        <w:rPr>
          <w:rFonts w:ascii="Times New Roman" w:hAnsi="Times New Roman" w:cs="Times New Roman"/>
          <w:sz w:val="24"/>
          <w:szCs w:val="24"/>
        </w:rPr>
        <w:t xml:space="preserve">, </w:t>
      </w:r>
      <w:r w:rsidR="002F4C79" w:rsidRPr="00A93681">
        <w:rPr>
          <w:rFonts w:ascii="Times New Roman" w:hAnsi="Times New Roman" w:cs="Times New Roman"/>
          <w:sz w:val="24"/>
          <w:szCs w:val="24"/>
        </w:rPr>
        <w:t xml:space="preserve">Табела </w:t>
      </w:r>
      <w:r w:rsidR="002070CA" w:rsidRPr="00A93681">
        <w:rPr>
          <w:rFonts w:ascii="Times New Roman" w:hAnsi="Times New Roman" w:cs="Times New Roman"/>
          <w:sz w:val="24"/>
          <w:szCs w:val="24"/>
        </w:rPr>
        <w:t>8</w:t>
      </w:r>
      <w:r w:rsidR="003E12CB">
        <w:rPr>
          <w:rFonts w:ascii="Times New Roman" w:hAnsi="Times New Roman" w:cs="Times New Roman"/>
          <w:sz w:val="24"/>
          <w:szCs w:val="24"/>
        </w:rPr>
        <w:t>)</w:t>
      </w:r>
      <w:r w:rsidR="003E12CB">
        <w:rPr>
          <w:rFonts w:ascii="Times New Roman" w:hAnsi="Times New Roman" w:cs="Times New Roman"/>
          <w:sz w:val="24"/>
          <w:szCs w:val="24"/>
          <w:lang w:val="sr-Cyrl-RS"/>
        </w:rPr>
        <w:t xml:space="preserve">, односно да је на сваких 100 закључених уговора </w:t>
      </w:r>
      <w:r w:rsidR="00C07973">
        <w:rPr>
          <w:rFonts w:ascii="Times New Roman" w:hAnsi="Times New Roman" w:cs="Times New Roman"/>
          <w:sz w:val="24"/>
          <w:szCs w:val="24"/>
          <w:lang w:val="sr-Cyrl-RS"/>
        </w:rPr>
        <w:t xml:space="preserve">о јавним набавкама </w:t>
      </w:r>
      <w:r w:rsidR="0028619F">
        <w:rPr>
          <w:rFonts w:ascii="Times New Roman" w:hAnsi="Times New Roman" w:cs="Times New Roman"/>
          <w:sz w:val="24"/>
          <w:szCs w:val="24"/>
          <w:lang w:val="sr-Cyrl-RS"/>
        </w:rPr>
        <w:t xml:space="preserve">у просеку </w:t>
      </w:r>
      <w:r w:rsidR="003E12CB">
        <w:rPr>
          <w:rFonts w:ascii="Times New Roman" w:hAnsi="Times New Roman" w:cs="Times New Roman"/>
          <w:sz w:val="24"/>
          <w:szCs w:val="24"/>
          <w:lang w:val="sr-Cyrl-RS"/>
        </w:rPr>
        <w:t>било 2 измене.</w:t>
      </w:r>
    </w:p>
    <w:p w:rsidR="00174F35" w:rsidRDefault="00174F35" w:rsidP="0009577C">
      <w:pPr>
        <w:jc w:val="both"/>
        <w:rPr>
          <w:rFonts w:ascii="Times New Roman" w:hAnsi="Times New Roman" w:cs="Times New Roman"/>
          <w:sz w:val="24"/>
          <w:szCs w:val="24"/>
          <w:lang w:val="sr-Cyrl-RS"/>
        </w:rPr>
      </w:pPr>
    </w:p>
    <w:p w:rsidR="00174F35" w:rsidRDefault="00174F35" w:rsidP="0009577C">
      <w:pPr>
        <w:jc w:val="both"/>
        <w:rPr>
          <w:rFonts w:ascii="Times New Roman" w:hAnsi="Times New Roman" w:cs="Times New Roman"/>
          <w:sz w:val="24"/>
          <w:szCs w:val="24"/>
          <w:lang w:val="sr-Cyrl-RS"/>
        </w:rPr>
      </w:pPr>
    </w:p>
    <w:p w:rsidR="008449E3" w:rsidRDefault="008449E3" w:rsidP="00023ACB">
      <w:pPr>
        <w:rPr>
          <w:rFonts w:ascii="Times New Roman" w:hAnsi="Times New Roman" w:cs="Times New Roman"/>
          <w:b/>
          <w:sz w:val="24"/>
          <w:szCs w:val="24"/>
          <w:lang w:val="sr-Cyrl-RS"/>
        </w:rPr>
      </w:pPr>
    </w:p>
    <w:p w:rsidR="00DD7D04" w:rsidRPr="001A588E" w:rsidRDefault="00C41DA4" w:rsidP="00023ACB">
      <w:pPr>
        <w:rPr>
          <w:rFonts w:ascii="Times New Roman" w:hAnsi="Times New Roman" w:cs="Times New Roman"/>
          <w:b/>
          <w:sz w:val="24"/>
          <w:szCs w:val="24"/>
        </w:rPr>
      </w:pPr>
      <w:r w:rsidRPr="001A588E">
        <w:rPr>
          <w:rFonts w:ascii="Times New Roman" w:hAnsi="Times New Roman" w:cs="Times New Roman"/>
          <w:b/>
          <w:sz w:val="24"/>
          <w:szCs w:val="24"/>
        </w:rPr>
        <w:lastRenderedPageBreak/>
        <w:t>Табела</w:t>
      </w:r>
      <w:r w:rsidR="00786677" w:rsidRPr="001A588E">
        <w:rPr>
          <w:rFonts w:ascii="Times New Roman" w:hAnsi="Times New Roman" w:cs="Times New Roman"/>
          <w:b/>
          <w:sz w:val="24"/>
          <w:szCs w:val="24"/>
        </w:rPr>
        <w:t xml:space="preserve"> </w:t>
      </w:r>
      <w:r w:rsidR="000512E4" w:rsidRPr="001A588E">
        <w:rPr>
          <w:rFonts w:ascii="Times New Roman" w:hAnsi="Times New Roman" w:cs="Times New Roman"/>
          <w:b/>
          <w:sz w:val="24"/>
          <w:szCs w:val="24"/>
        </w:rPr>
        <w:t>8</w:t>
      </w:r>
    </w:p>
    <w:tbl>
      <w:tblPr>
        <w:tblpPr w:leftFromText="141" w:rightFromText="141" w:vertAnchor="text" w:horzAnchor="margin" w:tblpX="108" w:tblpY="17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2251"/>
        <w:gridCol w:w="2264"/>
        <w:gridCol w:w="2849"/>
      </w:tblGrid>
      <w:tr w:rsidR="00AC7158" w:rsidRPr="00AC7158" w:rsidTr="00174F35">
        <w:trPr>
          <w:trHeight w:val="724"/>
        </w:trPr>
        <w:tc>
          <w:tcPr>
            <w:tcW w:w="11016" w:type="dxa"/>
            <w:gridSpan w:val="4"/>
            <w:shd w:val="clear" w:color="auto" w:fill="auto"/>
            <w:vAlign w:val="center"/>
          </w:tcPr>
          <w:p w:rsidR="00AC7158" w:rsidRPr="006F2AD4" w:rsidRDefault="00AC7158" w:rsidP="00AC7158">
            <w:pPr>
              <w:tabs>
                <w:tab w:val="left" w:pos="1885"/>
              </w:tabs>
              <w:spacing w:after="0" w:line="240" w:lineRule="auto"/>
              <w:jc w:val="center"/>
              <w:rPr>
                <w:rFonts w:ascii="Times New Roman" w:eastAsia="Times New Roman" w:hAnsi="Times New Roman" w:cs="Times New Roman"/>
                <w:b/>
                <w:color w:val="000000"/>
                <w:sz w:val="28"/>
                <w:szCs w:val="28"/>
              </w:rPr>
            </w:pPr>
            <w:r w:rsidRPr="006F2AD4">
              <w:rPr>
                <w:rFonts w:ascii="Times New Roman" w:eastAsia="Times New Roman" w:hAnsi="Times New Roman" w:cs="Times New Roman"/>
                <w:b/>
                <w:color w:val="000000"/>
                <w:sz w:val="28"/>
                <w:szCs w:val="28"/>
              </w:rPr>
              <w:t xml:space="preserve">Преглед измена </w:t>
            </w:r>
            <w:r w:rsidR="00E53AC3">
              <w:rPr>
                <w:rFonts w:ascii="Times New Roman" w:eastAsia="Times New Roman" w:hAnsi="Times New Roman" w:cs="Times New Roman"/>
                <w:b/>
                <w:color w:val="000000"/>
                <w:sz w:val="28"/>
                <w:szCs w:val="28"/>
                <w:lang w:val="sr-Cyrl-RS"/>
              </w:rPr>
              <w:t>уговора који су извршени</w:t>
            </w:r>
            <w:r w:rsidRPr="006F2AD4">
              <w:rPr>
                <w:rFonts w:ascii="Times New Roman" w:eastAsia="Times New Roman" w:hAnsi="Times New Roman" w:cs="Times New Roman"/>
                <w:b/>
                <w:color w:val="000000"/>
                <w:sz w:val="28"/>
                <w:szCs w:val="28"/>
              </w:rPr>
              <w:t xml:space="preserve"> </w:t>
            </w:r>
          </w:p>
          <w:p w:rsidR="00AC7158" w:rsidRPr="006F2AD4" w:rsidRDefault="00AC7158" w:rsidP="00174F35">
            <w:pPr>
              <w:tabs>
                <w:tab w:val="left" w:pos="1885"/>
              </w:tabs>
              <w:spacing w:after="0" w:line="240" w:lineRule="auto"/>
              <w:jc w:val="center"/>
              <w:rPr>
                <w:rFonts w:ascii="Times New Roman" w:eastAsia="Times New Roman" w:hAnsi="Times New Roman" w:cs="Times New Roman"/>
                <w:b/>
                <w:color w:val="000000"/>
                <w:sz w:val="28"/>
                <w:szCs w:val="28"/>
                <w:lang w:val="sr-Cyrl-CS"/>
              </w:rPr>
            </w:pPr>
            <w:r w:rsidRPr="006F2AD4">
              <w:rPr>
                <w:rFonts w:ascii="Times New Roman" w:eastAsia="Times New Roman" w:hAnsi="Times New Roman" w:cs="Times New Roman"/>
                <w:b/>
                <w:color w:val="000000"/>
                <w:sz w:val="28"/>
                <w:szCs w:val="28"/>
              </w:rPr>
              <w:t xml:space="preserve">у првом </w:t>
            </w:r>
            <w:r w:rsidR="00174F35">
              <w:rPr>
                <w:rFonts w:ascii="Times New Roman" w:eastAsia="Times New Roman" w:hAnsi="Times New Roman" w:cs="Times New Roman"/>
                <w:b/>
                <w:color w:val="000000"/>
                <w:sz w:val="28"/>
                <w:szCs w:val="28"/>
                <w:lang w:val="sr-Cyrl-RS"/>
              </w:rPr>
              <w:t>полугодишту</w:t>
            </w:r>
            <w:r w:rsidRPr="006F2AD4">
              <w:rPr>
                <w:rFonts w:ascii="Times New Roman" w:eastAsia="Times New Roman" w:hAnsi="Times New Roman" w:cs="Times New Roman"/>
                <w:b/>
                <w:color w:val="000000"/>
                <w:sz w:val="28"/>
                <w:szCs w:val="28"/>
              </w:rPr>
              <w:t xml:space="preserve"> 2014. </w:t>
            </w:r>
            <w:r w:rsidR="00E53AC3">
              <w:rPr>
                <w:rFonts w:ascii="Times New Roman" w:eastAsia="Times New Roman" w:hAnsi="Times New Roman" w:cs="Times New Roman"/>
                <w:b/>
                <w:color w:val="000000"/>
                <w:sz w:val="28"/>
                <w:szCs w:val="28"/>
                <w:lang w:val="sr-Cyrl-RS"/>
              </w:rPr>
              <w:t>г</w:t>
            </w:r>
            <w:r w:rsidRPr="006F2AD4">
              <w:rPr>
                <w:rFonts w:ascii="Times New Roman" w:eastAsia="Times New Roman" w:hAnsi="Times New Roman" w:cs="Times New Roman"/>
                <w:b/>
                <w:color w:val="000000"/>
                <w:sz w:val="28"/>
                <w:szCs w:val="28"/>
              </w:rPr>
              <w:t>один</w:t>
            </w:r>
            <w:r w:rsidRPr="006F2AD4">
              <w:rPr>
                <w:rFonts w:ascii="Times New Roman" w:eastAsia="Times New Roman" w:hAnsi="Times New Roman" w:cs="Times New Roman"/>
                <w:b/>
                <w:color w:val="000000"/>
                <w:sz w:val="28"/>
                <w:szCs w:val="28"/>
                <w:lang w:val="sr-Cyrl-CS"/>
              </w:rPr>
              <w:t>е</w:t>
            </w:r>
            <w:r w:rsidR="00E53AC3">
              <w:rPr>
                <w:rFonts w:ascii="Times New Roman" w:eastAsia="Times New Roman" w:hAnsi="Times New Roman" w:cs="Times New Roman"/>
                <w:b/>
                <w:color w:val="000000"/>
                <w:sz w:val="28"/>
                <w:szCs w:val="28"/>
                <w:lang w:val="sr-Cyrl-CS"/>
              </w:rPr>
              <w:t>, по категоријама</w:t>
            </w:r>
          </w:p>
        </w:tc>
      </w:tr>
      <w:tr w:rsidR="00AC7158" w:rsidRPr="00AC7158" w:rsidTr="00174F35">
        <w:tc>
          <w:tcPr>
            <w:tcW w:w="3652" w:type="dxa"/>
            <w:shd w:val="clear" w:color="auto" w:fill="auto"/>
            <w:vAlign w:val="center"/>
          </w:tcPr>
          <w:p w:rsidR="00AC7158" w:rsidRPr="00AC7158" w:rsidRDefault="00AC7158" w:rsidP="00AC7158">
            <w:pPr>
              <w:tabs>
                <w:tab w:val="left" w:pos="1885"/>
              </w:tabs>
              <w:spacing w:after="0" w:line="240" w:lineRule="auto"/>
              <w:rPr>
                <w:rFonts w:ascii="Times New Roman" w:eastAsia="Times New Roman" w:hAnsi="Times New Roman" w:cs="Times New Roman"/>
                <w:b/>
                <w:sz w:val="24"/>
                <w:szCs w:val="20"/>
              </w:rPr>
            </w:pPr>
            <w:r w:rsidRPr="00AC7158">
              <w:rPr>
                <w:rFonts w:ascii="Times New Roman" w:eastAsia="Times New Roman" w:hAnsi="Times New Roman" w:cs="Times New Roman"/>
                <w:b/>
                <w:sz w:val="24"/>
                <w:szCs w:val="20"/>
              </w:rPr>
              <w:t>Категорија</w:t>
            </w:r>
          </w:p>
        </w:tc>
        <w:tc>
          <w:tcPr>
            <w:tcW w:w="2251" w:type="dxa"/>
            <w:shd w:val="clear" w:color="auto" w:fill="auto"/>
            <w:vAlign w:val="center"/>
          </w:tcPr>
          <w:p w:rsidR="00AC7158" w:rsidRPr="00AC7158" w:rsidRDefault="00AC7158" w:rsidP="00AC7158">
            <w:pPr>
              <w:tabs>
                <w:tab w:val="left" w:pos="1885"/>
              </w:tabs>
              <w:spacing w:after="0" w:line="240" w:lineRule="auto"/>
              <w:jc w:val="center"/>
              <w:rPr>
                <w:rFonts w:ascii="Times New Roman" w:eastAsia="Times New Roman" w:hAnsi="Times New Roman" w:cs="Times New Roman"/>
                <w:b/>
                <w:color w:val="000000"/>
                <w:sz w:val="24"/>
                <w:szCs w:val="20"/>
              </w:rPr>
            </w:pPr>
            <w:r w:rsidRPr="00AC7158">
              <w:rPr>
                <w:rFonts w:ascii="Times New Roman" w:eastAsia="Times New Roman" w:hAnsi="Times New Roman" w:cs="Times New Roman"/>
                <w:b/>
                <w:color w:val="000000"/>
                <w:sz w:val="24"/>
                <w:szCs w:val="20"/>
              </w:rPr>
              <w:t>Број извршених уговора</w:t>
            </w:r>
          </w:p>
        </w:tc>
        <w:tc>
          <w:tcPr>
            <w:tcW w:w="0" w:type="auto"/>
            <w:shd w:val="clear" w:color="auto" w:fill="auto"/>
            <w:vAlign w:val="center"/>
          </w:tcPr>
          <w:p w:rsidR="00AC7158" w:rsidRPr="00AC7158" w:rsidRDefault="00AC7158" w:rsidP="00AC7158">
            <w:pPr>
              <w:tabs>
                <w:tab w:val="left" w:pos="1885"/>
              </w:tabs>
              <w:spacing w:after="0" w:line="240" w:lineRule="auto"/>
              <w:jc w:val="center"/>
              <w:rPr>
                <w:rFonts w:ascii="Times New Roman" w:eastAsia="Times New Roman" w:hAnsi="Times New Roman" w:cs="Times New Roman"/>
                <w:b/>
                <w:color w:val="000000"/>
                <w:sz w:val="24"/>
                <w:szCs w:val="20"/>
              </w:rPr>
            </w:pPr>
            <w:r w:rsidRPr="00AC7158">
              <w:rPr>
                <w:rFonts w:ascii="Times New Roman" w:eastAsia="Times New Roman" w:hAnsi="Times New Roman" w:cs="Times New Roman"/>
                <w:b/>
                <w:color w:val="000000"/>
                <w:sz w:val="24"/>
                <w:szCs w:val="20"/>
              </w:rPr>
              <w:t>Број измена уговора</w:t>
            </w:r>
          </w:p>
        </w:tc>
        <w:tc>
          <w:tcPr>
            <w:tcW w:w="2849" w:type="dxa"/>
            <w:shd w:val="clear" w:color="auto" w:fill="auto"/>
            <w:vAlign w:val="center"/>
          </w:tcPr>
          <w:p w:rsidR="00AC7158" w:rsidRPr="00AC7158" w:rsidRDefault="00AC7158" w:rsidP="00AC7158">
            <w:pPr>
              <w:tabs>
                <w:tab w:val="left" w:pos="1885"/>
              </w:tabs>
              <w:spacing w:after="0" w:line="240" w:lineRule="auto"/>
              <w:jc w:val="center"/>
              <w:rPr>
                <w:rFonts w:ascii="Times New Roman" w:eastAsia="Times New Roman" w:hAnsi="Times New Roman" w:cs="Times New Roman"/>
                <w:b/>
                <w:color w:val="000000"/>
                <w:sz w:val="24"/>
                <w:szCs w:val="20"/>
              </w:rPr>
            </w:pPr>
            <w:r w:rsidRPr="00AC7158">
              <w:rPr>
                <w:rFonts w:ascii="Times New Roman" w:eastAsia="Times New Roman" w:hAnsi="Times New Roman" w:cs="Times New Roman"/>
                <w:b/>
                <w:color w:val="000000"/>
                <w:sz w:val="24"/>
                <w:szCs w:val="20"/>
              </w:rPr>
              <w:t xml:space="preserve">Просечан број измена </w:t>
            </w:r>
          </w:p>
          <w:p w:rsidR="00AC7158" w:rsidRPr="00AC7158" w:rsidRDefault="00AC7158" w:rsidP="00AC7158">
            <w:pPr>
              <w:tabs>
                <w:tab w:val="left" w:pos="1885"/>
              </w:tabs>
              <w:spacing w:after="0" w:line="240" w:lineRule="auto"/>
              <w:jc w:val="center"/>
              <w:rPr>
                <w:rFonts w:ascii="Times New Roman" w:eastAsia="Times New Roman" w:hAnsi="Times New Roman" w:cs="Times New Roman"/>
                <w:b/>
                <w:color w:val="000000"/>
                <w:sz w:val="24"/>
                <w:szCs w:val="20"/>
              </w:rPr>
            </w:pPr>
            <w:r w:rsidRPr="00AC7158">
              <w:rPr>
                <w:rFonts w:ascii="Times New Roman" w:eastAsia="Times New Roman" w:hAnsi="Times New Roman" w:cs="Times New Roman"/>
                <w:b/>
                <w:color w:val="000000"/>
                <w:sz w:val="24"/>
                <w:szCs w:val="20"/>
              </w:rPr>
              <w:t>по уговору</w:t>
            </w:r>
          </w:p>
        </w:tc>
      </w:tr>
      <w:tr w:rsidR="00AC7158" w:rsidRPr="00AC7158" w:rsidTr="00174F35">
        <w:tc>
          <w:tcPr>
            <w:tcW w:w="3652" w:type="dxa"/>
            <w:shd w:val="clear" w:color="auto" w:fill="auto"/>
            <w:vAlign w:val="center"/>
          </w:tcPr>
          <w:p w:rsidR="00AC7158" w:rsidRPr="00AC7158" w:rsidRDefault="00AC7158" w:rsidP="00AC7158">
            <w:pPr>
              <w:tabs>
                <w:tab w:val="left" w:pos="1885"/>
              </w:tabs>
              <w:spacing w:after="0" w:line="240" w:lineRule="auto"/>
              <w:rPr>
                <w:rFonts w:ascii="Times New Roman" w:eastAsia="Times New Roman" w:hAnsi="Times New Roman" w:cs="Times New Roman"/>
                <w:b/>
                <w:sz w:val="24"/>
                <w:szCs w:val="20"/>
              </w:rPr>
            </w:pPr>
            <w:r w:rsidRPr="00AC7158">
              <w:rPr>
                <w:rFonts w:ascii="Times New Roman" w:eastAsia="Times New Roman" w:hAnsi="Times New Roman" w:cs="Times New Roman"/>
                <w:b/>
                <w:sz w:val="24"/>
                <w:szCs w:val="20"/>
              </w:rPr>
              <w:t>Органи државне управе</w:t>
            </w:r>
          </w:p>
        </w:tc>
        <w:tc>
          <w:tcPr>
            <w:tcW w:w="2251" w:type="dxa"/>
            <w:shd w:val="clear" w:color="auto" w:fill="auto"/>
            <w:vAlign w:val="center"/>
          </w:tcPr>
          <w:p w:rsidR="00AC7158" w:rsidRPr="00E53AC3" w:rsidRDefault="00E53AC3" w:rsidP="00AC7158">
            <w:pPr>
              <w:tabs>
                <w:tab w:val="left" w:pos="1885"/>
              </w:tabs>
              <w:spacing w:after="0" w:line="240" w:lineRule="auto"/>
              <w:jc w:val="center"/>
              <w:rPr>
                <w:rFonts w:ascii="Times New Roman" w:eastAsia="Times New Roman" w:hAnsi="Times New Roman" w:cs="Times New Roman"/>
                <w:color w:val="000000"/>
                <w:sz w:val="24"/>
                <w:szCs w:val="20"/>
                <w:lang w:val="sr-Cyrl-RS"/>
              </w:rPr>
            </w:pPr>
            <w:r>
              <w:rPr>
                <w:rFonts w:ascii="Times New Roman" w:eastAsia="Times New Roman" w:hAnsi="Times New Roman" w:cs="Times New Roman"/>
                <w:color w:val="000000"/>
                <w:sz w:val="24"/>
                <w:szCs w:val="20"/>
                <w:lang w:val="sr-Cyrl-RS"/>
              </w:rPr>
              <w:t>488</w:t>
            </w:r>
          </w:p>
        </w:tc>
        <w:tc>
          <w:tcPr>
            <w:tcW w:w="0" w:type="auto"/>
            <w:shd w:val="clear" w:color="auto" w:fill="auto"/>
            <w:vAlign w:val="center"/>
          </w:tcPr>
          <w:p w:rsidR="00AC7158" w:rsidRPr="00E53AC3" w:rsidRDefault="00E53AC3" w:rsidP="00AC7158">
            <w:pPr>
              <w:tabs>
                <w:tab w:val="left" w:pos="1885"/>
              </w:tabs>
              <w:spacing w:after="0" w:line="240" w:lineRule="auto"/>
              <w:jc w:val="center"/>
              <w:rPr>
                <w:rFonts w:ascii="Times New Roman" w:eastAsia="Times New Roman" w:hAnsi="Times New Roman" w:cs="Times New Roman"/>
                <w:color w:val="000000"/>
                <w:sz w:val="24"/>
                <w:szCs w:val="20"/>
                <w:lang w:val="sr-Cyrl-RS"/>
              </w:rPr>
            </w:pPr>
            <w:r>
              <w:rPr>
                <w:rFonts w:ascii="Times New Roman" w:eastAsia="Times New Roman" w:hAnsi="Times New Roman" w:cs="Times New Roman"/>
                <w:color w:val="000000"/>
                <w:sz w:val="24"/>
                <w:szCs w:val="20"/>
                <w:lang w:val="sr-Cyrl-RS"/>
              </w:rPr>
              <w:t>20</w:t>
            </w:r>
          </w:p>
        </w:tc>
        <w:tc>
          <w:tcPr>
            <w:tcW w:w="2849" w:type="dxa"/>
            <w:shd w:val="clear" w:color="auto" w:fill="auto"/>
            <w:vAlign w:val="center"/>
          </w:tcPr>
          <w:p w:rsidR="00AC7158" w:rsidRPr="00E53AC3" w:rsidRDefault="00E53AC3" w:rsidP="00AC7158">
            <w:pPr>
              <w:tabs>
                <w:tab w:val="left" w:pos="1885"/>
              </w:tabs>
              <w:spacing w:after="0" w:line="240" w:lineRule="auto"/>
              <w:jc w:val="center"/>
              <w:rPr>
                <w:rFonts w:ascii="Times New Roman" w:eastAsia="Times New Roman" w:hAnsi="Times New Roman" w:cs="Times New Roman"/>
                <w:color w:val="000000"/>
                <w:sz w:val="24"/>
                <w:szCs w:val="20"/>
                <w:lang w:val="sr-Cyrl-RS"/>
              </w:rPr>
            </w:pPr>
            <w:r>
              <w:rPr>
                <w:rFonts w:ascii="Times New Roman" w:eastAsia="Times New Roman" w:hAnsi="Times New Roman" w:cs="Times New Roman"/>
                <w:color w:val="000000"/>
                <w:sz w:val="24"/>
                <w:szCs w:val="20"/>
              </w:rPr>
              <w:t>0,0</w:t>
            </w:r>
            <w:r>
              <w:rPr>
                <w:rFonts w:ascii="Times New Roman" w:eastAsia="Times New Roman" w:hAnsi="Times New Roman" w:cs="Times New Roman"/>
                <w:color w:val="000000"/>
                <w:sz w:val="24"/>
                <w:szCs w:val="20"/>
                <w:lang w:val="sr-Cyrl-RS"/>
              </w:rPr>
              <w:t>4</w:t>
            </w:r>
          </w:p>
        </w:tc>
      </w:tr>
      <w:tr w:rsidR="00AC7158" w:rsidRPr="00AC7158" w:rsidTr="00174F35">
        <w:tc>
          <w:tcPr>
            <w:tcW w:w="3652" w:type="dxa"/>
            <w:shd w:val="clear" w:color="auto" w:fill="auto"/>
            <w:vAlign w:val="center"/>
          </w:tcPr>
          <w:p w:rsidR="00AC7158" w:rsidRPr="00AC7158" w:rsidRDefault="00AC7158" w:rsidP="00AC7158">
            <w:pPr>
              <w:tabs>
                <w:tab w:val="left" w:pos="1885"/>
              </w:tabs>
              <w:spacing w:after="0" w:line="240" w:lineRule="auto"/>
              <w:rPr>
                <w:rFonts w:ascii="Times New Roman" w:eastAsia="Times New Roman" w:hAnsi="Times New Roman" w:cs="Times New Roman"/>
                <w:b/>
                <w:sz w:val="24"/>
                <w:szCs w:val="20"/>
              </w:rPr>
            </w:pPr>
            <w:r w:rsidRPr="00AC7158">
              <w:rPr>
                <w:rFonts w:ascii="Times New Roman" w:eastAsia="Times New Roman" w:hAnsi="Times New Roman" w:cs="Times New Roman"/>
                <w:b/>
                <w:sz w:val="24"/>
                <w:szCs w:val="20"/>
              </w:rPr>
              <w:t>Правосуђе</w:t>
            </w:r>
          </w:p>
        </w:tc>
        <w:tc>
          <w:tcPr>
            <w:tcW w:w="2251" w:type="dxa"/>
            <w:shd w:val="clear" w:color="auto" w:fill="auto"/>
            <w:vAlign w:val="center"/>
          </w:tcPr>
          <w:p w:rsidR="00AC7158" w:rsidRPr="00E53AC3" w:rsidRDefault="00E53AC3" w:rsidP="00AC7158">
            <w:pPr>
              <w:tabs>
                <w:tab w:val="left" w:pos="1885"/>
              </w:tabs>
              <w:spacing w:after="0" w:line="240" w:lineRule="auto"/>
              <w:jc w:val="center"/>
              <w:rPr>
                <w:rFonts w:ascii="Times New Roman" w:eastAsia="Times New Roman" w:hAnsi="Times New Roman" w:cs="Times New Roman"/>
                <w:color w:val="000000"/>
                <w:sz w:val="24"/>
                <w:szCs w:val="20"/>
                <w:lang w:val="sr-Cyrl-RS"/>
              </w:rPr>
            </w:pPr>
            <w:r>
              <w:rPr>
                <w:rFonts w:ascii="Times New Roman" w:eastAsia="Times New Roman" w:hAnsi="Times New Roman" w:cs="Times New Roman"/>
                <w:color w:val="000000"/>
                <w:sz w:val="24"/>
                <w:szCs w:val="20"/>
                <w:lang w:val="sr-Cyrl-RS"/>
              </w:rPr>
              <w:t>13</w:t>
            </w:r>
          </w:p>
        </w:tc>
        <w:tc>
          <w:tcPr>
            <w:tcW w:w="0" w:type="auto"/>
            <w:shd w:val="clear" w:color="auto" w:fill="auto"/>
            <w:vAlign w:val="center"/>
          </w:tcPr>
          <w:p w:rsidR="00AC7158" w:rsidRPr="00AC7158" w:rsidRDefault="00AC7158" w:rsidP="00AC7158">
            <w:pPr>
              <w:tabs>
                <w:tab w:val="left" w:pos="1885"/>
              </w:tabs>
              <w:spacing w:after="0" w:line="240" w:lineRule="auto"/>
              <w:jc w:val="center"/>
              <w:rPr>
                <w:rFonts w:ascii="Times New Roman" w:eastAsia="Times New Roman" w:hAnsi="Times New Roman" w:cs="Times New Roman"/>
                <w:color w:val="000000"/>
                <w:sz w:val="24"/>
                <w:szCs w:val="20"/>
                <w:lang w:val="sr-Cyrl-CS"/>
              </w:rPr>
            </w:pPr>
            <w:r w:rsidRPr="00AC7158">
              <w:rPr>
                <w:rFonts w:ascii="Times New Roman" w:eastAsia="Times New Roman" w:hAnsi="Times New Roman" w:cs="Times New Roman"/>
                <w:color w:val="000000"/>
                <w:sz w:val="24"/>
                <w:szCs w:val="20"/>
                <w:lang w:val="sr-Cyrl-CS"/>
              </w:rPr>
              <w:t>0</w:t>
            </w:r>
          </w:p>
        </w:tc>
        <w:tc>
          <w:tcPr>
            <w:tcW w:w="2849" w:type="dxa"/>
            <w:shd w:val="clear" w:color="auto" w:fill="auto"/>
            <w:vAlign w:val="center"/>
          </w:tcPr>
          <w:p w:rsidR="00AC7158" w:rsidRPr="00AC7158" w:rsidRDefault="00AC7158" w:rsidP="00AC7158">
            <w:pPr>
              <w:tabs>
                <w:tab w:val="left" w:pos="1885"/>
              </w:tabs>
              <w:spacing w:after="0" w:line="240" w:lineRule="auto"/>
              <w:jc w:val="center"/>
              <w:rPr>
                <w:rFonts w:ascii="Times New Roman" w:eastAsia="Times New Roman" w:hAnsi="Times New Roman" w:cs="Times New Roman"/>
                <w:color w:val="000000"/>
                <w:sz w:val="24"/>
                <w:szCs w:val="20"/>
              </w:rPr>
            </w:pPr>
            <w:r w:rsidRPr="00AC7158">
              <w:rPr>
                <w:rFonts w:ascii="Times New Roman" w:eastAsia="Times New Roman" w:hAnsi="Times New Roman" w:cs="Times New Roman"/>
                <w:color w:val="000000"/>
                <w:sz w:val="24"/>
                <w:szCs w:val="20"/>
              </w:rPr>
              <w:t>0</w:t>
            </w:r>
          </w:p>
        </w:tc>
      </w:tr>
      <w:tr w:rsidR="00AC7158" w:rsidRPr="00AC7158" w:rsidTr="00174F35">
        <w:tc>
          <w:tcPr>
            <w:tcW w:w="3652" w:type="dxa"/>
            <w:shd w:val="clear" w:color="auto" w:fill="auto"/>
            <w:vAlign w:val="center"/>
          </w:tcPr>
          <w:p w:rsidR="00AC7158" w:rsidRPr="00AC7158" w:rsidRDefault="00AC7158" w:rsidP="00AC7158">
            <w:pPr>
              <w:tabs>
                <w:tab w:val="left" w:pos="1885"/>
              </w:tabs>
              <w:spacing w:after="0" w:line="240" w:lineRule="auto"/>
              <w:rPr>
                <w:rFonts w:ascii="Times New Roman" w:eastAsia="Times New Roman" w:hAnsi="Times New Roman" w:cs="Times New Roman"/>
                <w:b/>
                <w:sz w:val="24"/>
                <w:szCs w:val="20"/>
              </w:rPr>
            </w:pPr>
            <w:r w:rsidRPr="00AC7158">
              <w:rPr>
                <w:rFonts w:ascii="Times New Roman" w:eastAsia="Times New Roman" w:hAnsi="Times New Roman" w:cs="Times New Roman"/>
                <w:b/>
                <w:sz w:val="24"/>
                <w:szCs w:val="20"/>
              </w:rPr>
              <w:t>Здравство и социјална заштита</w:t>
            </w:r>
          </w:p>
        </w:tc>
        <w:tc>
          <w:tcPr>
            <w:tcW w:w="2251" w:type="dxa"/>
            <w:shd w:val="clear" w:color="auto" w:fill="auto"/>
            <w:vAlign w:val="center"/>
          </w:tcPr>
          <w:p w:rsidR="00AC7158" w:rsidRPr="00E53AC3" w:rsidRDefault="00E53AC3" w:rsidP="00AC7158">
            <w:pPr>
              <w:tabs>
                <w:tab w:val="left" w:pos="1885"/>
              </w:tabs>
              <w:spacing w:after="0" w:line="240" w:lineRule="auto"/>
              <w:jc w:val="center"/>
              <w:rPr>
                <w:rFonts w:ascii="Times New Roman" w:eastAsia="Times New Roman" w:hAnsi="Times New Roman" w:cs="Times New Roman"/>
                <w:color w:val="000000"/>
                <w:sz w:val="24"/>
                <w:szCs w:val="20"/>
                <w:lang w:val="sr-Cyrl-RS"/>
              </w:rPr>
            </w:pPr>
            <w:r>
              <w:rPr>
                <w:rFonts w:ascii="Times New Roman" w:eastAsia="Times New Roman" w:hAnsi="Times New Roman" w:cs="Times New Roman"/>
                <w:color w:val="000000"/>
                <w:sz w:val="24"/>
                <w:szCs w:val="20"/>
                <w:lang w:val="sr-Cyrl-RS"/>
              </w:rPr>
              <w:t>2083</w:t>
            </w:r>
          </w:p>
        </w:tc>
        <w:tc>
          <w:tcPr>
            <w:tcW w:w="0" w:type="auto"/>
            <w:shd w:val="clear" w:color="auto" w:fill="auto"/>
            <w:vAlign w:val="center"/>
          </w:tcPr>
          <w:p w:rsidR="00AC7158" w:rsidRPr="00E53AC3" w:rsidRDefault="00E53AC3" w:rsidP="00AC7158">
            <w:pPr>
              <w:tabs>
                <w:tab w:val="left" w:pos="1885"/>
              </w:tabs>
              <w:spacing w:after="0" w:line="240" w:lineRule="auto"/>
              <w:jc w:val="center"/>
              <w:rPr>
                <w:rFonts w:ascii="Times New Roman" w:eastAsia="Times New Roman" w:hAnsi="Times New Roman" w:cs="Times New Roman"/>
                <w:color w:val="000000"/>
                <w:sz w:val="24"/>
                <w:szCs w:val="20"/>
                <w:lang w:val="sr-Cyrl-RS"/>
              </w:rPr>
            </w:pPr>
            <w:r>
              <w:rPr>
                <w:rFonts w:ascii="Times New Roman" w:eastAsia="Times New Roman" w:hAnsi="Times New Roman" w:cs="Times New Roman"/>
                <w:color w:val="000000"/>
                <w:sz w:val="24"/>
                <w:szCs w:val="20"/>
                <w:lang w:val="sr-Cyrl-RS"/>
              </w:rPr>
              <w:t>55</w:t>
            </w:r>
          </w:p>
        </w:tc>
        <w:tc>
          <w:tcPr>
            <w:tcW w:w="2849" w:type="dxa"/>
            <w:shd w:val="clear" w:color="auto" w:fill="auto"/>
            <w:vAlign w:val="center"/>
          </w:tcPr>
          <w:p w:rsidR="00AC7158" w:rsidRPr="00E53AC3" w:rsidRDefault="00E53AC3" w:rsidP="00AC7158">
            <w:pPr>
              <w:tabs>
                <w:tab w:val="left" w:pos="1885"/>
              </w:tabs>
              <w:spacing w:after="0" w:line="240" w:lineRule="auto"/>
              <w:jc w:val="center"/>
              <w:rPr>
                <w:rFonts w:ascii="Times New Roman" w:eastAsia="Times New Roman" w:hAnsi="Times New Roman" w:cs="Times New Roman"/>
                <w:color w:val="000000"/>
                <w:sz w:val="24"/>
                <w:szCs w:val="20"/>
                <w:lang w:val="sr-Cyrl-RS"/>
              </w:rPr>
            </w:pPr>
            <w:r>
              <w:rPr>
                <w:rFonts w:ascii="Times New Roman" w:eastAsia="Times New Roman" w:hAnsi="Times New Roman" w:cs="Times New Roman"/>
                <w:color w:val="000000"/>
                <w:sz w:val="24"/>
                <w:szCs w:val="20"/>
              </w:rPr>
              <w:t>0,0</w:t>
            </w:r>
            <w:r>
              <w:rPr>
                <w:rFonts w:ascii="Times New Roman" w:eastAsia="Times New Roman" w:hAnsi="Times New Roman" w:cs="Times New Roman"/>
                <w:color w:val="000000"/>
                <w:sz w:val="24"/>
                <w:szCs w:val="20"/>
                <w:lang w:val="sr-Cyrl-RS"/>
              </w:rPr>
              <w:t>3</w:t>
            </w:r>
          </w:p>
        </w:tc>
      </w:tr>
      <w:tr w:rsidR="00AC7158" w:rsidRPr="00AC7158" w:rsidTr="00174F35">
        <w:tc>
          <w:tcPr>
            <w:tcW w:w="3652" w:type="dxa"/>
            <w:shd w:val="clear" w:color="auto" w:fill="auto"/>
            <w:vAlign w:val="center"/>
          </w:tcPr>
          <w:p w:rsidR="00AC7158" w:rsidRPr="00AC7158" w:rsidRDefault="00AC7158" w:rsidP="00AC7158">
            <w:pPr>
              <w:tabs>
                <w:tab w:val="left" w:pos="1885"/>
              </w:tabs>
              <w:spacing w:after="0" w:line="240" w:lineRule="auto"/>
              <w:rPr>
                <w:rFonts w:ascii="Times New Roman" w:eastAsia="Times New Roman" w:hAnsi="Times New Roman" w:cs="Times New Roman"/>
                <w:b/>
                <w:sz w:val="24"/>
                <w:szCs w:val="20"/>
              </w:rPr>
            </w:pPr>
            <w:r w:rsidRPr="00AC7158">
              <w:rPr>
                <w:rFonts w:ascii="Times New Roman" w:eastAsia="Times New Roman" w:hAnsi="Times New Roman" w:cs="Times New Roman"/>
                <w:b/>
                <w:sz w:val="24"/>
                <w:szCs w:val="20"/>
              </w:rPr>
              <w:t>Култура</w:t>
            </w:r>
          </w:p>
        </w:tc>
        <w:tc>
          <w:tcPr>
            <w:tcW w:w="2251" w:type="dxa"/>
            <w:shd w:val="clear" w:color="auto" w:fill="auto"/>
            <w:vAlign w:val="center"/>
          </w:tcPr>
          <w:p w:rsidR="00AC7158" w:rsidRPr="00E53AC3" w:rsidRDefault="00E53AC3" w:rsidP="00AC7158">
            <w:pPr>
              <w:tabs>
                <w:tab w:val="left" w:pos="1885"/>
              </w:tabs>
              <w:spacing w:after="0" w:line="240" w:lineRule="auto"/>
              <w:jc w:val="center"/>
              <w:rPr>
                <w:rFonts w:ascii="Times New Roman" w:eastAsia="Times New Roman" w:hAnsi="Times New Roman" w:cs="Times New Roman"/>
                <w:color w:val="000000"/>
                <w:sz w:val="24"/>
                <w:szCs w:val="20"/>
                <w:lang w:val="sr-Cyrl-RS"/>
              </w:rPr>
            </w:pPr>
            <w:r>
              <w:rPr>
                <w:rFonts w:ascii="Times New Roman" w:eastAsia="Times New Roman" w:hAnsi="Times New Roman" w:cs="Times New Roman"/>
                <w:color w:val="000000"/>
                <w:sz w:val="24"/>
                <w:szCs w:val="20"/>
                <w:lang w:val="sr-Cyrl-RS"/>
              </w:rPr>
              <w:t>168</w:t>
            </w:r>
          </w:p>
        </w:tc>
        <w:tc>
          <w:tcPr>
            <w:tcW w:w="0" w:type="auto"/>
            <w:shd w:val="clear" w:color="auto" w:fill="auto"/>
            <w:vAlign w:val="center"/>
          </w:tcPr>
          <w:p w:rsidR="00AC7158" w:rsidRPr="00E53AC3" w:rsidRDefault="00E53AC3" w:rsidP="00AC7158">
            <w:pPr>
              <w:tabs>
                <w:tab w:val="left" w:pos="1885"/>
              </w:tabs>
              <w:spacing w:after="0" w:line="240" w:lineRule="auto"/>
              <w:jc w:val="center"/>
              <w:rPr>
                <w:rFonts w:ascii="Times New Roman" w:eastAsia="Times New Roman" w:hAnsi="Times New Roman" w:cs="Times New Roman"/>
                <w:color w:val="000000"/>
                <w:sz w:val="24"/>
                <w:szCs w:val="20"/>
                <w:lang w:val="sr-Cyrl-RS"/>
              </w:rPr>
            </w:pPr>
            <w:r>
              <w:rPr>
                <w:rFonts w:ascii="Times New Roman" w:eastAsia="Times New Roman" w:hAnsi="Times New Roman" w:cs="Times New Roman"/>
                <w:color w:val="000000"/>
                <w:sz w:val="24"/>
                <w:szCs w:val="20"/>
                <w:lang w:val="sr-Cyrl-RS"/>
              </w:rPr>
              <w:t>1</w:t>
            </w:r>
          </w:p>
        </w:tc>
        <w:tc>
          <w:tcPr>
            <w:tcW w:w="2849" w:type="dxa"/>
            <w:shd w:val="clear" w:color="auto" w:fill="auto"/>
            <w:vAlign w:val="center"/>
          </w:tcPr>
          <w:p w:rsidR="00AC7158" w:rsidRPr="00E53AC3" w:rsidRDefault="00AC7158" w:rsidP="00AC7158">
            <w:pPr>
              <w:tabs>
                <w:tab w:val="left" w:pos="1885"/>
              </w:tabs>
              <w:spacing w:after="0" w:line="240" w:lineRule="auto"/>
              <w:jc w:val="center"/>
              <w:rPr>
                <w:rFonts w:ascii="Times New Roman" w:eastAsia="Times New Roman" w:hAnsi="Times New Roman" w:cs="Times New Roman"/>
                <w:color w:val="000000"/>
                <w:sz w:val="24"/>
                <w:szCs w:val="20"/>
                <w:lang w:val="sr-Cyrl-RS"/>
              </w:rPr>
            </w:pPr>
            <w:r w:rsidRPr="00AC7158">
              <w:rPr>
                <w:rFonts w:ascii="Times New Roman" w:eastAsia="Times New Roman" w:hAnsi="Times New Roman" w:cs="Times New Roman"/>
                <w:color w:val="000000"/>
                <w:sz w:val="24"/>
                <w:szCs w:val="20"/>
              </w:rPr>
              <w:t>0</w:t>
            </w:r>
            <w:r w:rsidR="00E53AC3">
              <w:rPr>
                <w:rFonts w:ascii="Times New Roman" w:eastAsia="Times New Roman" w:hAnsi="Times New Roman" w:cs="Times New Roman"/>
                <w:color w:val="000000"/>
                <w:sz w:val="24"/>
                <w:szCs w:val="20"/>
                <w:lang w:val="sr-Cyrl-RS"/>
              </w:rPr>
              <w:t>,01</w:t>
            </w:r>
          </w:p>
        </w:tc>
      </w:tr>
      <w:tr w:rsidR="00AC7158" w:rsidRPr="00AC7158" w:rsidTr="00174F35">
        <w:tc>
          <w:tcPr>
            <w:tcW w:w="3652" w:type="dxa"/>
            <w:shd w:val="clear" w:color="auto" w:fill="auto"/>
            <w:vAlign w:val="center"/>
          </w:tcPr>
          <w:p w:rsidR="00AC7158" w:rsidRPr="00AC7158" w:rsidRDefault="00AC7158" w:rsidP="00AC7158">
            <w:pPr>
              <w:tabs>
                <w:tab w:val="left" w:pos="1885"/>
              </w:tabs>
              <w:spacing w:after="0" w:line="240" w:lineRule="auto"/>
              <w:rPr>
                <w:rFonts w:ascii="Times New Roman" w:eastAsia="Times New Roman" w:hAnsi="Times New Roman" w:cs="Times New Roman"/>
                <w:b/>
                <w:sz w:val="24"/>
                <w:szCs w:val="20"/>
              </w:rPr>
            </w:pPr>
            <w:r w:rsidRPr="00AC7158">
              <w:rPr>
                <w:rFonts w:ascii="Times New Roman" w:eastAsia="Times New Roman" w:hAnsi="Times New Roman" w:cs="Times New Roman"/>
                <w:b/>
                <w:sz w:val="24"/>
                <w:szCs w:val="20"/>
              </w:rPr>
              <w:t>Просвета, наука и спорт</w:t>
            </w:r>
          </w:p>
        </w:tc>
        <w:tc>
          <w:tcPr>
            <w:tcW w:w="2251" w:type="dxa"/>
            <w:shd w:val="clear" w:color="auto" w:fill="auto"/>
            <w:vAlign w:val="center"/>
          </w:tcPr>
          <w:p w:rsidR="00AC7158" w:rsidRPr="00E53AC3" w:rsidRDefault="00E53AC3" w:rsidP="00AC7158">
            <w:pPr>
              <w:tabs>
                <w:tab w:val="left" w:pos="1885"/>
              </w:tabs>
              <w:spacing w:after="0" w:line="240" w:lineRule="auto"/>
              <w:jc w:val="center"/>
              <w:rPr>
                <w:rFonts w:ascii="Times New Roman" w:eastAsia="Times New Roman" w:hAnsi="Times New Roman" w:cs="Times New Roman"/>
                <w:color w:val="000000"/>
                <w:sz w:val="24"/>
                <w:szCs w:val="20"/>
                <w:lang w:val="sr-Cyrl-RS"/>
              </w:rPr>
            </w:pPr>
            <w:r>
              <w:rPr>
                <w:rFonts w:ascii="Times New Roman" w:eastAsia="Times New Roman" w:hAnsi="Times New Roman" w:cs="Times New Roman"/>
                <w:color w:val="000000"/>
                <w:sz w:val="24"/>
                <w:szCs w:val="20"/>
                <w:lang w:val="sr-Cyrl-RS"/>
              </w:rPr>
              <w:t>265</w:t>
            </w:r>
          </w:p>
        </w:tc>
        <w:tc>
          <w:tcPr>
            <w:tcW w:w="0" w:type="auto"/>
            <w:shd w:val="clear" w:color="auto" w:fill="auto"/>
            <w:vAlign w:val="center"/>
          </w:tcPr>
          <w:p w:rsidR="00AC7158" w:rsidRPr="00E53AC3" w:rsidRDefault="00E53AC3" w:rsidP="00AC7158">
            <w:pPr>
              <w:tabs>
                <w:tab w:val="left" w:pos="1885"/>
              </w:tabs>
              <w:spacing w:after="0" w:line="240" w:lineRule="auto"/>
              <w:jc w:val="center"/>
              <w:rPr>
                <w:rFonts w:ascii="Times New Roman" w:eastAsia="Times New Roman" w:hAnsi="Times New Roman" w:cs="Times New Roman"/>
                <w:color w:val="000000"/>
                <w:sz w:val="24"/>
                <w:szCs w:val="20"/>
                <w:lang w:val="sr-Cyrl-RS"/>
              </w:rPr>
            </w:pPr>
            <w:r>
              <w:rPr>
                <w:rFonts w:ascii="Times New Roman" w:eastAsia="Times New Roman" w:hAnsi="Times New Roman" w:cs="Times New Roman"/>
                <w:color w:val="000000"/>
                <w:sz w:val="24"/>
                <w:szCs w:val="20"/>
                <w:lang w:val="sr-Cyrl-RS"/>
              </w:rPr>
              <w:t>6</w:t>
            </w:r>
          </w:p>
        </w:tc>
        <w:tc>
          <w:tcPr>
            <w:tcW w:w="2849" w:type="dxa"/>
            <w:shd w:val="clear" w:color="auto" w:fill="auto"/>
            <w:vAlign w:val="center"/>
          </w:tcPr>
          <w:p w:rsidR="00AC7158" w:rsidRPr="00E53AC3" w:rsidRDefault="00AC7158" w:rsidP="00E53AC3">
            <w:pPr>
              <w:tabs>
                <w:tab w:val="left" w:pos="1885"/>
              </w:tabs>
              <w:spacing w:after="0" w:line="240" w:lineRule="auto"/>
              <w:jc w:val="center"/>
              <w:rPr>
                <w:rFonts w:ascii="Times New Roman" w:eastAsia="Times New Roman" w:hAnsi="Times New Roman" w:cs="Times New Roman"/>
                <w:color w:val="000000"/>
                <w:sz w:val="24"/>
                <w:szCs w:val="20"/>
                <w:lang w:val="sr-Cyrl-RS"/>
              </w:rPr>
            </w:pPr>
            <w:r w:rsidRPr="00AC7158">
              <w:rPr>
                <w:rFonts w:ascii="Times New Roman" w:eastAsia="Times New Roman" w:hAnsi="Times New Roman" w:cs="Times New Roman"/>
                <w:color w:val="000000"/>
                <w:sz w:val="24"/>
                <w:szCs w:val="20"/>
              </w:rPr>
              <w:t>0,0</w:t>
            </w:r>
            <w:r w:rsidR="00E53AC3">
              <w:rPr>
                <w:rFonts w:ascii="Times New Roman" w:eastAsia="Times New Roman" w:hAnsi="Times New Roman" w:cs="Times New Roman"/>
                <w:color w:val="000000"/>
                <w:sz w:val="24"/>
                <w:szCs w:val="20"/>
                <w:lang w:val="sr-Cyrl-RS"/>
              </w:rPr>
              <w:t>2</w:t>
            </w:r>
          </w:p>
        </w:tc>
      </w:tr>
      <w:tr w:rsidR="00AC7158" w:rsidRPr="00AC7158" w:rsidTr="00174F35">
        <w:tc>
          <w:tcPr>
            <w:tcW w:w="3652" w:type="dxa"/>
            <w:shd w:val="clear" w:color="auto" w:fill="auto"/>
            <w:vAlign w:val="center"/>
          </w:tcPr>
          <w:p w:rsidR="00174F35" w:rsidRPr="00174F35" w:rsidRDefault="00AC7158" w:rsidP="00AC7158">
            <w:pPr>
              <w:tabs>
                <w:tab w:val="left" w:pos="1885"/>
              </w:tabs>
              <w:spacing w:after="0" w:line="240" w:lineRule="auto"/>
              <w:rPr>
                <w:rFonts w:ascii="Times New Roman" w:eastAsia="Times New Roman" w:hAnsi="Times New Roman" w:cs="Times New Roman"/>
                <w:b/>
                <w:sz w:val="24"/>
                <w:szCs w:val="20"/>
                <w:lang w:val="sr-Cyrl-RS"/>
              </w:rPr>
            </w:pPr>
            <w:r w:rsidRPr="00AC7158">
              <w:rPr>
                <w:rFonts w:ascii="Times New Roman" w:eastAsia="Times New Roman" w:hAnsi="Times New Roman" w:cs="Times New Roman"/>
                <w:b/>
                <w:sz w:val="24"/>
                <w:szCs w:val="20"/>
              </w:rPr>
              <w:t>Државна јавна предузећа</w:t>
            </w:r>
            <w:r w:rsidR="00174F35">
              <w:rPr>
                <w:rFonts w:ascii="Times New Roman" w:eastAsia="Times New Roman" w:hAnsi="Times New Roman" w:cs="Times New Roman"/>
                <w:b/>
                <w:sz w:val="24"/>
                <w:szCs w:val="20"/>
                <w:lang w:val="sr-Cyrl-RS"/>
              </w:rPr>
              <w:t>/ /привредна друштва</w:t>
            </w:r>
          </w:p>
        </w:tc>
        <w:tc>
          <w:tcPr>
            <w:tcW w:w="2251" w:type="dxa"/>
            <w:shd w:val="clear" w:color="auto" w:fill="auto"/>
            <w:vAlign w:val="center"/>
          </w:tcPr>
          <w:p w:rsidR="00AC7158" w:rsidRPr="00E53AC3" w:rsidRDefault="00E53AC3" w:rsidP="00AC7158">
            <w:pPr>
              <w:tabs>
                <w:tab w:val="left" w:pos="1885"/>
              </w:tabs>
              <w:spacing w:after="0" w:line="240" w:lineRule="auto"/>
              <w:jc w:val="center"/>
              <w:rPr>
                <w:rFonts w:ascii="Times New Roman" w:eastAsia="Times New Roman" w:hAnsi="Times New Roman" w:cs="Times New Roman"/>
                <w:color w:val="000000"/>
                <w:sz w:val="24"/>
                <w:szCs w:val="20"/>
                <w:lang w:val="sr-Cyrl-RS"/>
              </w:rPr>
            </w:pPr>
            <w:r>
              <w:rPr>
                <w:rFonts w:ascii="Times New Roman" w:eastAsia="Times New Roman" w:hAnsi="Times New Roman" w:cs="Times New Roman"/>
                <w:color w:val="000000"/>
                <w:sz w:val="24"/>
                <w:szCs w:val="20"/>
                <w:lang w:val="sr-Cyrl-RS"/>
              </w:rPr>
              <w:t>914</w:t>
            </w:r>
          </w:p>
        </w:tc>
        <w:tc>
          <w:tcPr>
            <w:tcW w:w="0" w:type="auto"/>
            <w:shd w:val="clear" w:color="auto" w:fill="auto"/>
            <w:vAlign w:val="center"/>
          </w:tcPr>
          <w:p w:rsidR="00AC7158" w:rsidRPr="00E53AC3" w:rsidRDefault="00E53AC3" w:rsidP="00AC7158">
            <w:pPr>
              <w:tabs>
                <w:tab w:val="left" w:pos="1885"/>
              </w:tabs>
              <w:spacing w:after="0" w:line="240" w:lineRule="auto"/>
              <w:jc w:val="center"/>
              <w:rPr>
                <w:rFonts w:ascii="Times New Roman" w:eastAsia="Times New Roman" w:hAnsi="Times New Roman" w:cs="Times New Roman"/>
                <w:color w:val="000000"/>
                <w:sz w:val="24"/>
                <w:szCs w:val="20"/>
                <w:lang w:val="sr-Cyrl-RS"/>
              </w:rPr>
            </w:pPr>
            <w:r>
              <w:rPr>
                <w:rFonts w:ascii="Times New Roman" w:eastAsia="Times New Roman" w:hAnsi="Times New Roman" w:cs="Times New Roman"/>
                <w:color w:val="000000"/>
                <w:sz w:val="24"/>
                <w:szCs w:val="20"/>
                <w:lang w:val="sr-Cyrl-RS"/>
              </w:rPr>
              <w:t>11</w:t>
            </w:r>
          </w:p>
        </w:tc>
        <w:tc>
          <w:tcPr>
            <w:tcW w:w="2849" w:type="dxa"/>
            <w:shd w:val="clear" w:color="auto" w:fill="auto"/>
            <w:vAlign w:val="center"/>
          </w:tcPr>
          <w:p w:rsidR="00AC7158" w:rsidRPr="00E53AC3" w:rsidRDefault="00AC7158" w:rsidP="00AC7158">
            <w:pPr>
              <w:tabs>
                <w:tab w:val="left" w:pos="1885"/>
              </w:tabs>
              <w:spacing w:after="0" w:line="240" w:lineRule="auto"/>
              <w:jc w:val="center"/>
              <w:rPr>
                <w:rFonts w:ascii="Times New Roman" w:eastAsia="Times New Roman" w:hAnsi="Times New Roman" w:cs="Times New Roman"/>
                <w:color w:val="000000"/>
                <w:sz w:val="24"/>
                <w:szCs w:val="20"/>
                <w:lang w:val="sr-Cyrl-RS"/>
              </w:rPr>
            </w:pPr>
            <w:r w:rsidRPr="00AC7158">
              <w:rPr>
                <w:rFonts w:ascii="Times New Roman" w:eastAsia="Times New Roman" w:hAnsi="Times New Roman" w:cs="Times New Roman"/>
                <w:color w:val="000000"/>
                <w:sz w:val="24"/>
                <w:szCs w:val="20"/>
              </w:rPr>
              <w:t>0</w:t>
            </w:r>
            <w:r w:rsidR="00E53AC3">
              <w:rPr>
                <w:rFonts w:ascii="Times New Roman" w:eastAsia="Times New Roman" w:hAnsi="Times New Roman" w:cs="Times New Roman"/>
                <w:color w:val="000000"/>
                <w:sz w:val="24"/>
                <w:szCs w:val="20"/>
                <w:lang w:val="sr-Cyrl-RS"/>
              </w:rPr>
              <w:t>,01</w:t>
            </w:r>
          </w:p>
        </w:tc>
      </w:tr>
      <w:tr w:rsidR="00AC7158" w:rsidRPr="00AC7158" w:rsidTr="00174F35">
        <w:tc>
          <w:tcPr>
            <w:tcW w:w="3652" w:type="dxa"/>
            <w:shd w:val="clear" w:color="auto" w:fill="auto"/>
            <w:vAlign w:val="center"/>
          </w:tcPr>
          <w:p w:rsidR="00AC7158" w:rsidRPr="00AC7158" w:rsidRDefault="00AC7158" w:rsidP="00AC7158">
            <w:pPr>
              <w:tabs>
                <w:tab w:val="left" w:pos="1885"/>
              </w:tabs>
              <w:spacing w:after="0" w:line="240" w:lineRule="auto"/>
              <w:rPr>
                <w:rFonts w:ascii="Times New Roman" w:eastAsia="Times New Roman" w:hAnsi="Times New Roman" w:cs="Times New Roman"/>
                <w:b/>
                <w:sz w:val="24"/>
                <w:szCs w:val="20"/>
              </w:rPr>
            </w:pPr>
            <w:r w:rsidRPr="00AC7158">
              <w:rPr>
                <w:rFonts w:ascii="Times New Roman" w:eastAsia="Times New Roman" w:hAnsi="Times New Roman" w:cs="Times New Roman"/>
                <w:b/>
                <w:sz w:val="24"/>
                <w:szCs w:val="20"/>
              </w:rPr>
              <w:t>Јавна предузећа-локална самоуправа</w:t>
            </w:r>
          </w:p>
        </w:tc>
        <w:tc>
          <w:tcPr>
            <w:tcW w:w="2251" w:type="dxa"/>
            <w:shd w:val="clear" w:color="auto" w:fill="auto"/>
            <w:vAlign w:val="center"/>
          </w:tcPr>
          <w:p w:rsidR="00AC7158" w:rsidRPr="00E53AC3" w:rsidRDefault="00E53AC3" w:rsidP="00AC7158">
            <w:pPr>
              <w:tabs>
                <w:tab w:val="left" w:pos="1885"/>
              </w:tabs>
              <w:spacing w:after="0" w:line="240" w:lineRule="auto"/>
              <w:jc w:val="center"/>
              <w:rPr>
                <w:rFonts w:ascii="Times New Roman" w:eastAsia="Times New Roman" w:hAnsi="Times New Roman" w:cs="Times New Roman"/>
                <w:color w:val="000000"/>
                <w:sz w:val="24"/>
                <w:szCs w:val="20"/>
                <w:lang w:val="sr-Cyrl-RS"/>
              </w:rPr>
            </w:pPr>
            <w:r>
              <w:rPr>
                <w:rFonts w:ascii="Times New Roman" w:eastAsia="Times New Roman" w:hAnsi="Times New Roman" w:cs="Times New Roman"/>
                <w:color w:val="000000"/>
                <w:sz w:val="24"/>
                <w:szCs w:val="20"/>
                <w:lang w:val="sr-Cyrl-RS"/>
              </w:rPr>
              <w:t>1002</w:t>
            </w:r>
          </w:p>
        </w:tc>
        <w:tc>
          <w:tcPr>
            <w:tcW w:w="0" w:type="auto"/>
            <w:shd w:val="clear" w:color="auto" w:fill="auto"/>
            <w:vAlign w:val="center"/>
          </w:tcPr>
          <w:p w:rsidR="00AC7158" w:rsidRPr="00E53AC3" w:rsidRDefault="00E53AC3" w:rsidP="00AC7158">
            <w:pPr>
              <w:tabs>
                <w:tab w:val="left" w:pos="1885"/>
              </w:tabs>
              <w:spacing w:after="0" w:line="240" w:lineRule="auto"/>
              <w:jc w:val="center"/>
              <w:rPr>
                <w:rFonts w:ascii="Times New Roman" w:eastAsia="Times New Roman" w:hAnsi="Times New Roman" w:cs="Times New Roman"/>
                <w:color w:val="000000"/>
                <w:sz w:val="24"/>
                <w:szCs w:val="20"/>
                <w:lang w:val="sr-Cyrl-RS"/>
              </w:rPr>
            </w:pPr>
            <w:r>
              <w:rPr>
                <w:rFonts w:ascii="Times New Roman" w:eastAsia="Times New Roman" w:hAnsi="Times New Roman" w:cs="Times New Roman"/>
                <w:color w:val="000000"/>
                <w:sz w:val="24"/>
                <w:szCs w:val="20"/>
                <w:lang w:val="sr-Cyrl-RS"/>
              </w:rPr>
              <w:t>12</w:t>
            </w:r>
          </w:p>
        </w:tc>
        <w:tc>
          <w:tcPr>
            <w:tcW w:w="2849" w:type="dxa"/>
            <w:shd w:val="clear" w:color="auto" w:fill="auto"/>
            <w:vAlign w:val="center"/>
          </w:tcPr>
          <w:p w:rsidR="00AC7158" w:rsidRPr="00AC7158" w:rsidRDefault="00AC7158" w:rsidP="00AC7158">
            <w:pPr>
              <w:tabs>
                <w:tab w:val="left" w:pos="1885"/>
              </w:tabs>
              <w:spacing w:after="0" w:line="240" w:lineRule="auto"/>
              <w:jc w:val="center"/>
              <w:rPr>
                <w:rFonts w:ascii="Times New Roman" w:eastAsia="Times New Roman" w:hAnsi="Times New Roman" w:cs="Times New Roman"/>
                <w:color w:val="000000"/>
                <w:sz w:val="24"/>
                <w:szCs w:val="20"/>
              </w:rPr>
            </w:pPr>
            <w:r w:rsidRPr="00AC7158">
              <w:rPr>
                <w:rFonts w:ascii="Times New Roman" w:eastAsia="Times New Roman" w:hAnsi="Times New Roman" w:cs="Times New Roman"/>
                <w:color w:val="000000"/>
                <w:sz w:val="24"/>
                <w:szCs w:val="20"/>
              </w:rPr>
              <w:t>0,01</w:t>
            </w:r>
          </w:p>
        </w:tc>
      </w:tr>
      <w:tr w:rsidR="00AC7158" w:rsidRPr="00AC7158" w:rsidTr="00174F35">
        <w:tc>
          <w:tcPr>
            <w:tcW w:w="3652" w:type="dxa"/>
            <w:shd w:val="clear" w:color="auto" w:fill="auto"/>
            <w:vAlign w:val="center"/>
          </w:tcPr>
          <w:p w:rsidR="00AC7158" w:rsidRPr="00AC7158" w:rsidRDefault="00AC7158" w:rsidP="00AC7158">
            <w:pPr>
              <w:tabs>
                <w:tab w:val="left" w:pos="1885"/>
              </w:tabs>
              <w:spacing w:after="0" w:line="240" w:lineRule="auto"/>
              <w:rPr>
                <w:rFonts w:ascii="Times New Roman" w:eastAsia="Times New Roman" w:hAnsi="Times New Roman" w:cs="Times New Roman"/>
                <w:b/>
                <w:sz w:val="24"/>
                <w:szCs w:val="20"/>
              </w:rPr>
            </w:pPr>
            <w:r w:rsidRPr="00AC7158">
              <w:rPr>
                <w:rFonts w:ascii="Times New Roman" w:eastAsia="Times New Roman" w:hAnsi="Times New Roman" w:cs="Times New Roman"/>
                <w:b/>
                <w:sz w:val="24"/>
                <w:szCs w:val="20"/>
              </w:rPr>
              <w:t>Градска и општинска управа</w:t>
            </w:r>
          </w:p>
        </w:tc>
        <w:tc>
          <w:tcPr>
            <w:tcW w:w="2251" w:type="dxa"/>
            <w:shd w:val="clear" w:color="auto" w:fill="auto"/>
            <w:vAlign w:val="center"/>
          </w:tcPr>
          <w:p w:rsidR="00AC7158" w:rsidRPr="00E53AC3" w:rsidRDefault="00E53AC3" w:rsidP="00AC7158">
            <w:pPr>
              <w:tabs>
                <w:tab w:val="left" w:pos="1885"/>
              </w:tabs>
              <w:spacing w:after="0" w:line="240" w:lineRule="auto"/>
              <w:jc w:val="center"/>
              <w:rPr>
                <w:rFonts w:ascii="Times New Roman" w:eastAsia="Times New Roman" w:hAnsi="Times New Roman" w:cs="Times New Roman"/>
                <w:color w:val="000000"/>
                <w:sz w:val="24"/>
                <w:szCs w:val="20"/>
                <w:lang w:val="sr-Cyrl-RS"/>
              </w:rPr>
            </w:pPr>
            <w:r>
              <w:rPr>
                <w:rFonts w:ascii="Times New Roman" w:eastAsia="Times New Roman" w:hAnsi="Times New Roman" w:cs="Times New Roman"/>
                <w:color w:val="000000"/>
                <w:sz w:val="24"/>
                <w:szCs w:val="20"/>
                <w:lang w:val="sr-Cyrl-RS"/>
              </w:rPr>
              <w:t>140</w:t>
            </w:r>
          </w:p>
        </w:tc>
        <w:tc>
          <w:tcPr>
            <w:tcW w:w="0" w:type="auto"/>
            <w:shd w:val="clear" w:color="auto" w:fill="auto"/>
            <w:vAlign w:val="center"/>
          </w:tcPr>
          <w:p w:rsidR="00AC7158" w:rsidRPr="00E53AC3" w:rsidRDefault="00E53AC3" w:rsidP="00AC7158">
            <w:pPr>
              <w:tabs>
                <w:tab w:val="left" w:pos="1885"/>
              </w:tabs>
              <w:spacing w:after="0" w:line="240" w:lineRule="auto"/>
              <w:jc w:val="center"/>
              <w:rPr>
                <w:rFonts w:ascii="Times New Roman" w:eastAsia="Times New Roman" w:hAnsi="Times New Roman" w:cs="Times New Roman"/>
                <w:color w:val="000000"/>
                <w:sz w:val="24"/>
                <w:szCs w:val="20"/>
                <w:lang w:val="sr-Cyrl-RS"/>
              </w:rPr>
            </w:pPr>
            <w:r>
              <w:rPr>
                <w:rFonts w:ascii="Times New Roman" w:eastAsia="Times New Roman" w:hAnsi="Times New Roman" w:cs="Times New Roman"/>
                <w:color w:val="000000"/>
                <w:sz w:val="24"/>
                <w:szCs w:val="20"/>
                <w:lang w:val="sr-Cyrl-RS"/>
              </w:rPr>
              <w:t>4</w:t>
            </w:r>
          </w:p>
        </w:tc>
        <w:tc>
          <w:tcPr>
            <w:tcW w:w="2849" w:type="dxa"/>
            <w:shd w:val="clear" w:color="auto" w:fill="auto"/>
            <w:vAlign w:val="center"/>
          </w:tcPr>
          <w:p w:rsidR="00AC7158" w:rsidRPr="00E53AC3" w:rsidRDefault="00E53AC3" w:rsidP="00AC7158">
            <w:pPr>
              <w:tabs>
                <w:tab w:val="left" w:pos="1885"/>
              </w:tabs>
              <w:spacing w:after="0" w:line="240" w:lineRule="auto"/>
              <w:jc w:val="center"/>
              <w:rPr>
                <w:rFonts w:ascii="Times New Roman" w:eastAsia="Times New Roman" w:hAnsi="Times New Roman" w:cs="Times New Roman"/>
                <w:color w:val="000000"/>
                <w:sz w:val="24"/>
                <w:szCs w:val="20"/>
                <w:lang w:val="sr-Cyrl-RS"/>
              </w:rPr>
            </w:pPr>
            <w:r>
              <w:rPr>
                <w:rFonts w:ascii="Times New Roman" w:eastAsia="Times New Roman" w:hAnsi="Times New Roman" w:cs="Times New Roman"/>
                <w:color w:val="000000"/>
                <w:sz w:val="24"/>
                <w:szCs w:val="20"/>
              </w:rPr>
              <w:t>0,0</w:t>
            </w:r>
            <w:r>
              <w:rPr>
                <w:rFonts w:ascii="Times New Roman" w:eastAsia="Times New Roman" w:hAnsi="Times New Roman" w:cs="Times New Roman"/>
                <w:color w:val="000000"/>
                <w:sz w:val="24"/>
                <w:szCs w:val="20"/>
                <w:lang w:val="sr-Cyrl-RS"/>
              </w:rPr>
              <w:t>3</w:t>
            </w:r>
          </w:p>
          <w:p w:rsidR="00AC7158" w:rsidRPr="00AC7158" w:rsidRDefault="00AC7158" w:rsidP="00AC7158">
            <w:pPr>
              <w:tabs>
                <w:tab w:val="left" w:pos="1885"/>
              </w:tabs>
              <w:spacing w:after="0" w:line="240" w:lineRule="auto"/>
              <w:jc w:val="center"/>
              <w:rPr>
                <w:rFonts w:ascii="Times New Roman" w:eastAsia="Times New Roman" w:hAnsi="Times New Roman" w:cs="Times New Roman"/>
                <w:color w:val="000000"/>
                <w:sz w:val="24"/>
                <w:szCs w:val="20"/>
              </w:rPr>
            </w:pPr>
          </w:p>
        </w:tc>
      </w:tr>
      <w:tr w:rsidR="00AC7158" w:rsidRPr="00AC7158" w:rsidTr="00174F35">
        <w:tc>
          <w:tcPr>
            <w:tcW w:w="3652" w:type="dxa"/>
            <w:shd w:val="clear" w:color="auto" w:fill="auto"/>
            <w:vAlign w:val="center"/>
          </w:tcPr>
          <w:p w:rsidR="00AC7158" w:rsidRPr="00AC7158" w:rsidRDefault="00AC7158" w:rsidP="00AC7158">
            <w:pPr>
              <w:tabs>
                <w:tab w:val="left" w:pos="1885"/>
              </w:tabs>
              <w:spacing w:after="0" w:line="240" w:lineRule="auto"/>
              <w:rPr>
                <w:rFonts w:ascii="Times New Roman" w:eastAsia="Times New Roman" w:hAnsi="Times New Roman" w:cs="Times New Roman"/>
                <w:b/>
                <w:sz w:val="24"/>
                <w:szCs w:val="20"/>
              </w:rPr>
            </w:pPr>
            <w:r w:rsidRPr="00AC7158">
              <w:rPr>
                <w:rFonts w:ascii="Times New Roman" w:eastAsia="Times New Roman" w:hAnsi="Times New Roman" w:cs="Times New Roman"/>
                <w:b/>
                <w:sz w:val="24"/>
                <w:szCs w:val="20"/>
              </w:rPr>
              <w:t>Укупно</w:t>
            </w:r>
          </w:p>
        </w:tc>
        <w:tc>
          <w:tcPr>
            <w:tcW w:w="2251" w:type="dxa"/>
            <w:shd w:val="clear" w:color="auto" w:fill="auto"/>
            <w:vAlign w:val="center"/>
          </w:tcPr>
          <w:p w:rsidR="00AC7158" w:rsidRPr="00E53AC3" w:rsidRDefault="00E53AC3" w:rsidP="00AC7158">
            <w:pPr>
              <w:tabs>
                <w:tab w:val="left" w:pos="1885"/>
              </w:tabs>
              <w:spacing w:after="0" w:line="240" w:lineRule="auto"/>
              <w:jc w:val="center"/>
              <w:rPr>
                <w:rFonts w:ascii="Times New Roman" w:eastAsia="Times New Roman" w:hAnsi="Times New Roman" w:cs="Times New Roman"/>
                <w:color w:val="000000"/>
                <w:sz w:val="24"/>
                <w:szCs w:val="20"/>
                <w:lang w:val="sr-Cyrl-RS"/>
              </w:rPr>
            </w:pPr>
            <w:r>
              <w:rPr>
                <w:rFonts w:ascii="Times New Roman" w:eastAsia="Times New Roman" w:hAnsi="Times New Roman" w:cs="Times New Roman"/>
                <w:color w:val="000000"/>
                <w:sz w:val="24"/>
                <w:szCs w:val="20"/>
                <w:lang w:val="sr-Cyrl-RS"/>
              </w:rPr>
              <w:t>5.073</w:t>
            </w:r>
          </w:p>
        </w:tc>
        <w:tc>
          <w:tcPr>
            <w:tcW w:w="0" w:type="auto"/>
            <w:shd w:val="clear" w:color="auto" w:fill="auto"/>
            <w:vAlign w:val="center"/>
          </w:tcPr>
          <w:p w:rsidR="00AC7158" w:rsidRPr="00E53AC3" w:rsidRDefault="00E53AC3" w:rsidP="00AC7158">
            <w:pPr>
              <w:tabs>
                <w:tab w:val="left" w:pos="1885"/>
              </w:tabs>
              <w:spacing w:after="0" w:line="240" w:lineRule="auto"/>
              <w:jc w:val="center"/>
              <w:rPr>
                <w:rFonts w:ascii="Times New Roman" w:eastAsia="Times New Roman" w:hAnsi="Times New Roman" w:cs="Times New Roman"/>
                <w:color w:val="000000"/>
                <w:sz w:val="24"/>
                <w:szCs w:val="20"/>
                <w:lang w:val="sr-Cyrl-RS"/>
              </w:rPr>
            </w:pPr>
            <w:r>
              <w:rPr>
                <w:rFonts w:ascii="Times New Roman" w:eastAsia="Times New Roman" w:hAnsi="Times New Roman" w:cs="Times New Roman"/>
                <w:color w:val="000000"/>
                <w:sz w:val="24"/>
                <w:szCs w:val="20"/>
                <w:lang w:val="sr-Cyrl-RS"/>
              </w:rPr>
              <w:t>109</w:t>
            </w:r>
          </w:p>
        </w:tc>
        <w:tc>
          <w:tcPr>
            <w:tcW w:w="2849" w:type="dxa"/>
            <w:shd w:val="clear" w:color="auto" w:fill="auto"/>
            <w:vAlign w:val="center"/>
          </w:tcPr>
          <w:p w:rsidR="00AC7158" w:rsidRPr="00E53AC3" w:rsidRDefault="00E53AC3" w:rsidP="00AC7158">
            <w:pPr>
              <w:tabs>
                <w:tab w:val="left" w:pos="1885"/>
              </w:tabs>
              <w:spacing w:after="0" w:line="240" w:lineRule="auto"/>
              <w:jc w:val="center"/>
              <w:rPr>
                <w:rFonts w:ascii="Times New Roman" w:eastAsia="Times New Roman" w:hAnsi="Times New Roman" w:cs="Times New Roman"/>
                <w:color w:val="000000"/>
                <w:sz w:val="24"/>
                <w:szCs w:val="20"/>
                <w:lang w:val="sr-Cyrl-RS"/>
              </w:rPr>
            </w:pPr>
            <w:r>
              <w:rPr>
                <w:rFonts w:ascii="Times New Roman" w:eastAsia="Times New Roman" w:hAnsi="Times New Roman" w:cs="Times New Roman"/>
                <w:color w:val="000000"/>
                <w:sz w:val="24"/>
                <w:szCs w:val="20"/>
              </w:rPr>
              <w:t>0,0</w:t>
            </w:r>
            <w:r>
              <w:rPr>
                <w:rFonts w:ascii="Times New Roman" w:eastAsia="Times New Roman" w:hAnsi="Times New Roman" w:cs="Times New Roman"/>
                <w:color w:val="000000"/>
                <w:sz w:val="24"/>
                <w:szCs w:val="20"/>
                <w:lang w:val="sr-Cyrl-RS"/>
              </w:rPr>
              <w:t>2</w:t>
            </w:r>
          </w:p>
        </w:tc>
      </w:tr>
    </w:tbl>
    <w:p w:rsidR="00D631F1" w:rsidRPr="006F2AD4" w:rsidRDefault="00D631F1" w:rsidP="008B1816">
      <w:pPr>
        <w:rPr>
          <w:rFonts w:ascii="Times New Roman" w:hAnsi="Times New Roman" w:cs="Times New Roman"/>
          <w:b/>
          <w:sz w:val="24"/>
          <w:szCs w:val="24"/>
          <w:lang w:val="sr-Cyrl-RS"/>
        </w:rPr>
      </w:pPr>
    </w:p>
    <w:p w:rsidR="00637BC6" w:rsidRPr="003C3BC0" w:rsidRDefault="00637BC6" w:rsidP="003C3BC0">
      <w:pPr>
        <w:pStyle w:val="ListParagraph"/>
        <w:numPr>
          <w:ilvl w:val="0"/>
          <w:numId w:val="2"/>
        </w:numPr>
        <w:rPr>
          <w:rFonts w:ascii="Times New Roman" w:hAnsi="Times New Roman" w:cs="Times New Roman"/>
          <w:b/>
          <w:sz w:val="24"/>
          <w:szCs w:val="24"/>
        </w:rPr>
      </w:pPr>
      <w:r w:rsidRPr="003C3BC0">
        <w:rPr>
          <w:rFonts w:ascii="Times New Roman" w:hAnsi="Times New Roman" w:cs="Times New Roman"/>
          <w:b/>
          <w:sz w:val="24"/>
          <w:szCs w:val="24"/>
        </w:rPr>
        <w:t>ИСХОДИ ПОСТУПАКА</w:t>
      </w:r>
    </w:p>
    <w:p w:rsidR="00D14DA3" w:rsidRPr="00846B41" w:rsidRDefault="00637BC6" w:rsidP="00D23077">
      <w:pPr>
        <w:jc w:val="both"/>
        <w:rPr>
          <w:rFonts w:ascii="Times New Roman" w:hAnsi="Times New Roman" w:cs="Times New Roman"/>
          <w:sz w:val="24"/>
          <w:szCs w:val="24"/>
          <w:lang w:val="sr-Cyrl-RS"/>
        </w:rPr>
      </w:pPr>
      <w:r>
        <w:rPr>
          <w:rFonts w:ascii="Times New Roman" w:hAnsi="Times New Roman" w:cs="Times New Roman"/>
          <w:sz w:val="24"/>
          <w:szCs w:val="24"/>
        </w:rPr>
        <w:t xml:space="preserve">Преглед исхода поступака јавних набавки у </w:t>
      </w:r>
      <w:r w:rsidR="00505BD3">
        <w:rPr>
          <w:rFonts w:ascii="Times New Roman" w:hAnsi="Times New Roman" w:cs="Times New Roman"/>
          <w:sz w:val="24"/>
          <w:szCs w:val="24"/>
        </w:rPr>
        <w:t xml:space="preserve">првом полугодишту </w:t>
      </w:r>
      <w:r w:rsidR="00ED277B">
        <w:rPr>
          <w:rFonts w:ascii="Times New Roman" w:hAnsi="Times New Roman" w:cs="Times New Roman"/>
          <w:sz w:val="24"/>
          <w:szCs w:val="24"/>
        </w:rPr>
        <w:t>201</w:t>
      </w:r>
      <w:r w:rsidR="00505BD3">
        <w:rPr>
          <w:rFonts w:ascii="Times New Roman" w:hAnsi="Times New Roman" w:cs="Times New Roman"/>
          <w:sz w:val="24"/>
          <w:szCs w:val="24"/>
        </w:rPr>
        <w:t>4</w:t>
      </w:r>
      <w:r w:rsidR="00ED277B">
        <w:rPr>
          <w:rFonts w:ascii="Times New Roman" w:hAnsi="Times New Roman" w:cs="Times New Roman"/>
          <w:sz w:val="24"/>
          <w:szCs w:val="24"/>
        </w:rPr>
        <w:t>. годин</w:t>
      </w:r>
      <w:r w:rsidR="00505BD3">
        <w:rPr>
          <w:rFonts w:ascii="Times New Roman" w:hAnsi="Times New Roman" w:cs="Times New Roman"/>
          <w:sz w:val="24"/>
          <w:szCs w:val="24"/>
        </w:rPr>
        <w:t>е</w:t>
      </w:r>
      <w:r>
        <w:rPr>
          <w:rFonts w:ascii="Times New Roman" w:hAnsi="Times New Roman" w:cs="Times New Roman"/>
          <w:sz w:val="24"/>
          <w:szCs w:val="24"/>
        </w:rPr>
        <w:t xml:space="preserve"> (</w:t>
      </w:r>
      <w:r w:rsidRPr="004153ED">
        <w:rPr>
          <w:rFonts w:ascii="Times New Roman" w:hAnsi="Times New Roman" w:cs="Times New Roman"/>
          <w:sz w:val="24"/>
          <w:szCs w:val="24"/>
        </w:rPr>
        <w:t xml:space="preserve">Табела </w:t>
      </w:r>
      <w:r w:rsidR="00DA6F6B" w:rsidRPr="004153ED">
        <w:rPr>
          <w:rFonts w:ascii="Times New Roman" w:hAnsi="Times New Roman" w:cs="Times New Roman"/>
          <w:sz w:val="24"/>
          <w:szCs w:val="24"/>
        </w:rPr>
        <w:t>9</w:t>
      </w:r>
      <w:r w:rsidR="00A92087">
        <w:rPr>
          <w:rFonts w:ascii="Times New Roman" w:hAnsi="Times New Roman" w:cs="Times New Roman"/>
          <w:sz w:val="24"/>
          <w:szCs w:val="24"/>
        </w:rPr>
        <w:t>, С</w:t>
      </w:r>
      <w:r w:rsidR="00120C2B">
        <w:rPr>
          <w:rFonts w:ascii="Times New Roman" w:hAnsi="Times New Roman" w:cs="Times New Roman"/>
          <w:sz w:val="24"/>
          <w:szCs w:val="24"/>
        </w:rPr>
        <w:t>лика 1</w:t>
      </w:r>
      <w:r w:rsidR="00505BD3">
        <w:rPr>
          <w:rFonts w:ascii="Times New Roman" w:hAnsi="Times New Roman" w:cs="Times New Roman"/>
          <w:sz w:val="24"/>
          <w:szCs w:val="24"/>
        </w:rPr>
        <w:t>2</w:t>
      </w:r>
      <w:r>
        <w:rPr>
          <w:rFonts w:ascii="Times New Roman" w:hAnsi="Times New Roman" w:cs="Times New Roman"/>
          <w:sz w:val="24"/>
          <w:szCs w:val="24"/>
        </w:rPr>
        <w:t xml:space="preserve">) показује да је </w:t>
      </w:r>
      <w:r w:rsidR="00E9515B">
        <w:rPr>
          <w:rFonts w:ascii="Times New Roman" w:hAnsi="Times New Roman" w:cs="Times New Roman"/>
          <w:sz w:val="24"/>
          <w:szCs w:val="24"/>
        </w:rPr>
        <w:t>8</w:t>
      </w:r>
      <w:r w:rsidR="00505BD3">
        <w:rPr>
          <w:rFonts w:ascii="Times New Roman" w:hAnsi="Times New Roman" w:cs="Times New Roman"/>
          <w:sz w:val="24"/>
          <w:szCs w:val="24"/>
        </w:rPr>
        <w:t>7</w:t>
      </w:r>
      <w:r w:rsidR="00E9515B">
        <w:rPr>
          <w:rFonts w:ascii="Times New Roman" w:hAnsi="Times New Roman" w:cs="Times New Roman"/>
          <w:sz w:val="24"/>
          <w:szCs w:val="24"/>
        </w:rPr>
        <w:t xml:space="preserve">% </w:t>
      </w:r>
      <w:r>
        <w:rPr>
          <w:rFonts w:ascii="Times New Roman" w:hAnsi="Times New Roman" w:cs="Times New Roman"/>
          <w:sz w:val="24"/>
          <w:szCs w:val="24"/>
        </w:rPr>
        <w:t>запо</w:t>
      </w:r>
      <w:r w:rsidR="005F5974">
        <w:rPr>
          <w:rFonts w:ascii="Times New Roman" w:hAnsi="Times New Roman" w:cs="Times New Roman"/>
          <w:sz w:val="24"/>
          <w:szCs w:val="24"/>
        </w:rPr>
        <w:t xml:space="preserve">четих поступака успешно </w:t>
      </w:r>
      <w:r w:rsidR="00B71CA1">
        <w:rPr>
          <w:rFonts w:ascii="Times New Roman" w:hAnsi="Times New Roman" w:cs="Times New Roman"/>
          <w:sz w:val="24"/>
          <w:szCs w:val="24"/>
          <w:lang w:val="sr-Cyrl-RS"/>
        </w:rPr>
        <w:t xml:space="preserve">и </w:t>
      </w:r>
      <w:r w:rsidR="005F5974">
        <w:rPr>
          <w:rFonts w:ascii="Times New Roman" w:hAnsi="Times New Roman" w:cs="Times New Roman"/>
          <w:sz w:val="24"/>
          <w:szCs w:val="24"/>
        </w:rPr>
        <w:t>окончано</w:t>
      </w:r>
      <w:r>
        <w:rPr>
          <w:rFonts w:ascii="Times New Roman" w:hAnsi="Times New Roman" w:cs="Times New Roman"/>
          <w:sz w:val="24"/>
          <w:szCs w:val="24"/>
        </w:rPr>
        <w:t xml:space="preserve">. </w:t>
      </w:r>
      <w:r w:rsidR="007A00D3">
        <w:rPr>
          <w:rFonts w:ascii="Times New Roman" w:hAnsi="Times New Roman" w:cs="Times New Roman"/>
          <w:sz w:val="24"/>
          <w:szCs w:val="24"/>
        </w:rPr>
        <w:t>У</w:t>
      </w:r>
      <w:r w:rsidR="00846B41">
        <w:rPr>
          <w:rFonts w:ascii="Times New Roman" w:hAnsi="Times New Roman" w:cs="Times New Roman"/>
          <w:sz w:val="24"/>
          <w:szCs w:val="24"/>
          <w:lang w:val="sr-Cyrl-RS"/>
        </w:rPr>
        <w:t xml:space="preserve"> </w:t>
      </w:r>
      <w:r w:rsidR="00846B41">
        <w:rPr>
          <w:rFonts w:ascii="Times New Roman" w:hAnsi="Times New Roman" w:cs="Times New Roman"/>
          <w:sz w:val="24"/>
          <w:szCs w:val="24"/>
        </w:rPr>
        <w:t>случају да</w:t>
      </w:r>
      <w:r w:rsidR="00846B41">
        <w:rPr>
          <w:rFonts w:ascii="Times New Roman" w:hAnsi="Times New Roman" w:cs="Times New Roman"/>
          <w:sz w:val="24"/>
          <w:szCs w:val="24"/>
          <w:lang w:val="sr-Cyrl-RS"/>
        </w:rPr>
        <w:t xml:space="preserve"> </w:t>
      </w:r>
      <w:r w:rsidR="007A00D3">
        <w:rPr>
          <w:rFonts w:ascii="Times New Roman" w:hAnsi="Times New Roman" w:cs="Times New Roman"/>
          <w:sz w:val="24"/>
          <w:szCs w:val="24"/>
        </w:rPr>
        <w:t xml:space="preserve">је набавка </w:t>
      </w:r>
      <w:r w:rsidR="00846B41">
        <w:rPr>
          <w:rFonts w:ascii="Times New Roman" w:hAnsi="Times New Roman" w:cs="Times New Roman"/>
          <w:sz w:val="24"/>
          <w:szCs w:val="24"/>
          <w:lang w:val="sr-Cyrl-RS"/>
        </w:rPr>
        <w:t>обликована</w:t>
      </w:r>
      <w:r w:rsidR="007A00D3">
        <w:rPr>
          <w:rFonts w:ascii="Times New Roman" w:hAnsi="Times New Roman" w:cs="Times New Roman"/>
          <w:sz w:val="24"/>
          <w:szCs w:val="24"/>
        </w:rPr>
        <w:t xml:space="preserve"> по партијама, успешно спроведен</w:t>
      </w:r>
      <w:r w:rsidR="00846B41">
        <w:rPr>
          <w:rFonts w:ascii="Times New Roman" w:hAnsi="Times New Roman" w:cs="Times New Roman"/>
          <w:sz w:val="24"/>
          <w:szCs w:val="24"/>
          <w:lang w:val="sr-Cyrl-RS"/>
        </w:rPr>
        <w:t>им</w:t>
      </w:r>
      <w:r w:rsidR="007A00D3">
        <w:rPr>
          <w:rFonts w:ascii="Times New Roman" w:hAnsi="Times New Roman" w:cs="Times New Roman"/>
          <w:sz w:val="24"/>
          <w:szCs w:val="24"/>
        </w:rPr>
        <w:t xml:space="preserve"> </w:t>
      </w:r>
      <w:r w:rsidR="00846B41">
        <w:rPr>
          <w:rFonts w:ascii="Times New Roman" w:hAnsi="Times New Roman" w:cs="Times New Roman"/>
          <w:sz w:val="24"/>
          <w:szCs w:val="24"/>
          <w:lang w:val="sr-Cyrl-RS"/>
        </w:rPr>
        <w:t>поступком</w:t>
      </w:r>
      <w:r w:rsidR="007A00D3">
        <w:rPr>
          <w:rFonts w:ascii="Times New Roman" w:hAnsi="Times New Roman" w:cs="Times New Roman"/>
          <w:sz w:val="24"/>
          <w:szCs w:val="24"/>
        </w:rPr>
        <w:t xml:space="preserve"> се сматра </w:t>
      </w:r>
      <w:r w:rsidR="00846B41">
        <w:rPr>
          <w:rFonts w:ascii="Times New Roman" w:hAnsi="Times New Roman" w:cs="Times New Roman"/>
          <w:sz w:val="24"/>
          <w:szCs w:val="24"/>
          <w:lang w:val="sr-Cyrl-RS"/>
        </w:rPr>
        <w:t xml:space="preserve">онај код кога преовладава број партија за које је </w:t>
      </w:r>
      <w:r w:rsidR="00D23077">
        <w:rPr>
          <w:rFonts w:ascii="Times New Roman" w:hAnsi="Times New Roman" w:cs="Times New Roman"/>
          <w:sz w:val="24"/>
          <w:szCs w:val="24"/>
        </w:rPr>
        <w:t xml:space="preserve"> </w:t>
      </w:r>
      <w:r w:rsidR="00846B41">
        <w:rPr>
          <w:rFonts w:ascii="Times New Roman" w:hAnsi="Times New Roman" w:cs="Times New Roman"/>
          <w:sz w:val="24"/>
          <w:szCs w:val="24"/>
          <w:lang w:val="sr-Cyrl-RS"/>
        </w:rPr>
        <w:t xml:space="preserve">закључен уговор, у односу на </w:t>
      </w:r>
      <w:r w:rsidR="00B71CA1">
        <w:rPr>
          <w:rFonts w:ascii="Times New Roman" w:hAnsi="Times New Roman" w:cs="Times New Roman"/>
          <w:sz w:val="24"/>
          <w:szCs w:val="24"/>
          <w:lang w:val="sr-Cyrl-RS"/>
        </w:rPr>
        <w:t xml:space="preserve">број </w:t>
      </w:r>
      <w:r w:rsidR="00846B41">
        <w:rPr>
          <w:rFonts w:ascii="Times New Roman" w:hAnsi="Times New Roman" w:cs="Times New Roman"/>
          <w:sz w:val="24"/>
          <w:szCs w:val="24"/>
          <w:lang w:val="sr-Cyrl-RS"/>
        </w:rPr>
        <w:t>партије које су обустављене или поништене.</w:t>
      </w:r>
    </w:p>
    <w:p w:rsidR="00637BC6" w:rsidRPr="001A588E" w:rsidRDefault="001A588E" w:rsidP="0009577C">
      <w:pPr>
        <w:rPr>
          <w:rFonts w:ascii="Times New Roman" w:hAnsi="Times New Roman" w:cs="Times New Roman"/>
          <w:b/>
          <w:sz w:val="24"/>
          <w:szCs w:val="24"/>
        </w:rPr>
      </w:pPr>
      <w:r>
        <w:rPr>
          <w:rFonts w:ascii="Times New Roman" w:hAnsi="Times New Roman" w:cs="Times New Roman"/>
          <w:b/>
          <w:sz w:val="24"/>
          <w:szCs w:val="24"/>
          <w:lang w:val="sr-Cyrl-RS"/>
        </w:rPr>
        <w:t xml:space="preserve">                    </w:t>
      </w:r>
      <w:r w:rsidR="00637BC6" w:rsidRPr="001A588E">
        <w:rPr>
          <w:rFonts w:ascii="Times New Roman" w:hAnsi="Times New Roman" w:cs="Times New Roman"/>
          <w:b/>
          <w:sz w:val="24"/>
          <w:szCs w:val="24"/>
        </w:rPr>
        <w:t>Табела</w:t>
      </w:r>
      <w:r>
        <w:rPr>
          <w:rFonts w:ascii="Times New Roman" w:hAnsi="Times New Roman" w:cs="Times New Roman"/>
          <w:b/>
          <w:sz w:val="24"/>
          <w:szCs w:val="24"/>
          <w:lang w:val="sr-Cyrl-RS"/>
        </w:rPr>
        <w:t xml:space="preserve"> </w:t>
      </w:r>
      <w:r w:rsidR="00637BC6" w:rsidRPr="001A588E">
        <w:rPr>
          <w:rFonts w:ascii="Times New Roman" w:hAnsi="Times New Roman" w:cs="Times New Roman"/>
          <w:b/>
          <w:sz w:val="24"/>
          <w:szCs w:val="24"/>
        </w:rPr>
        <w:t xml:space="preserve"> </w:t>
      </w:r>
      <w:r w:rsidR="000512E4" w:rsidRPr="001A588E">
        <w:rPr>
          <w:rFonts w:ascii="Times New Roman" w:hAnsi="Times New Roman" w:cs="Times New Roman"/>
          <w:b/>
          <w:sz w:val="24"/>
          <w:szCs w:val="24"/>
        </w:rPr>
        <w:t>9</w:t>
      </w:r>
    </w:p>
    <w:tbl>
      <w:tblPr>
        <w:tblW w:w="0" w:type="auto"/>
        <w:jc w:val="center"/>
        <w:tblInd w:w="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8"/>
        <w:gridCol w:w="1336"/>
        <w:gridCol w:w="1015"/>
        <w:gridCol w:w="1336"/>
        <w:gridCol w:w="1015"/>
        <w:gridCol w:w="1047"/>
        <w:gridCol w:w="966"/>
      </w:tblGrid>
      <w:tr w:rsidR="00C26772" w:rsidRPr="00C26772" w:rsidTr="00846B41">
        <w:trPr>
          <w:trHeight w:val="615"/>
          <w:jc w:val="center"/>
        </w:trPr>
        <w:tc>
          <w:tcPr>
            <w:tcW w:w="8403" w:type="dxa"/>
            <w:gridSpan w:val="7"/>
            <w:shd w:val="clear" w:color="auto" w:fill="auto"/>
            <w:vAlign w:val="center"/>
          </w:tcPr>
          <w:p w:rsidR="00C26772" w:rsidRPr="00C26772" w:rsidRDefault="00C26772" w:rsidP="00846B41">
            <w:pPr>
              <w:tabs>
                <w:tab w:val="left" w:pos="1885"/>
              </w:tabs>
              <w:jc w:val="center"/>
              <w:rPr>
                <w:rFonts w:ascii="Times New Roman" w:hAnsi="Times New Roman" w:cs="Times New Roman"/>
                <w:b/>
                <w:sz w:val="24"/>
                <w:szCs w:val="24"/>
                <w:lang w:val="sr-Cyrl-CS"/>
              </w:rPr>
            </w:pPr>
            <w:r w:rsidRPr="00C26772">
              <w:rPr>
                <w:rFonts w:ascii="Times New Roman" w:hAnsi="Times New Roman" w:cs="Times New Roman"/>
                <w:b/>
                <w:sz w:val="24"/>
                <w:szCs w:val="24"/>
              </w:rPr>
              <w:t xml:space="preserve">Преглед исхода поступака у првом </w:t>
            </w:r>
            <w:r w:rsidR="00846B41">
              <w:rPr>
                <w:rFonts w:ascii="Times New Roman" w:hAnsi="Times New Roman" w:cs="Times New Roman"/>
                <w:b/>
                <w:sz w:val="24"/>
                <w:szCs w:val="24"/>
                <w:lang w:val="sr-Cyrl-RS"/>
              </w:rPr>
              <w:t>полугодишту</w:t>
            </w:r>
            <w:r w:rsidRPr="00C26772">
              <w:rPr>
                <w:rFonts w:ascii="Times New Roman" w:hAnsi="Times New Roman" w:cs="Times New Roman"/>
                <w:b/>
                <w:sz w:val="24"/>
                <w:szCs w:val="24"/>
              </w:rPr>
              <w:t xml:space="preserve"> 2014. годин</w:t>
            </w:r>
            <w:r w:rsidRPr="00C26772">
              <w:rPr>
                <w:rFonts w:ascii="Times New Roman" w:hAnsi="Times New Roman" w:cs="Times New Roman"/>
                <w:b/>
                <w:sz w:val="24"/>
                <w:szCs w:val="24"/>
                <w:lang w:val="sr-Cyrl-CS"/>
              </w:rPr>
              <w:t>е</w:t>
            </w:r>
          </w:p>
        </w:tc>
      </w:tr>
      <w:tr w:rsidR="00C26772" w:rsidRPr="00C26772" w:rsidTr="00A8404D">
        <w:trPr>
          <w:trHeight w:val="981"/>
          <w:jc w:val="center"/>
        </w:trPr>
        <w:tc>
          <w:tcPr>
            <w:tcW w:w="1688" w:type="dxa"/>
            <w:shd w:val="clear" w:color="auto" w:fill="auto"/>
            <w:vAlign w:val="center"/>
          </w:tcPr>
          <w:p w:rsidR="00C26772" w:rsidRPr="00C26772" w:rsidRDefault="00C26772" w:rsidP="00C26772">
            <w:pPr>
              <w:tabs>
                <w:tab w:val="left" w:pos="1885"/>
              </w:tabs>
              <w:jc w:val="center"/>
              <w:rPr>
                <w:rFonts w:ascii="Times New Roman" w:hAnsi="Times New Roman" w:cs="Times New Roman"/>
                <w:b/>
              </w:rPr>
            </w:pPr>
            <w:r w:rsidRPr="00C26772">
              <w:rPr>
                <w:rFonts w:ascii="Times New Roman" w:hAnsi="Times New Roman" w:cs="Times New Roman"/>
                <w:b/>
              </w:rPr>
              <w:t>Исход поступка</w:t>
            </w:r>
          </w:p>
        </w:tc>
        <w:tc>
          <w:tcPr>
            <w:tcW w:w="1336" w:type="dxa"/>
            <w:shd w:val="clear" w:color="auto" w:fill="auto"/>
            <w:vAlign w:val="center"/>
          </w:tcPr>
          <w:p w:rsidR="00C26772" w:rsidRPr="00C26772" w:rsidRDefault="00C26772" w:rsidP="00C26772">
            <w:pPr>
              <w:tabs>
                <w:tab w:val="left" w:pos="1885"/>
              </w:tabs>
              <w:jc w:val="center"/>
              <w:rPr>
                <w:rFonts w:ascii="Times New Roman" w:hAnsi="Times New Roman" w:cs="Times New Roman"/>
                <w:b/>
              </w:rPr>
            </w:pPr>
            <w:r w:rsidRPr="00C26772">
              <w:rPr>
                <w:rFonts w:ascii="Times New Roman" w:hAnsi="Times New Roman" w:cs="Times New Roman"/>
                <w:b/>
              </w:rPr>
              <w:t>Број поступака велике вредности</w:t>
            </w:r>
          </w:p>
        </w:tc>
        <w:tc>
          <w:tcPr>
            <w:tcW w:w="1015" w:type="dxa"/>
            <w:shd w:val="clear" w:color="auto" w:fill="auto"/>
            <w:vAlign w:val="center"/>
          </w:tcPr>
          <w:p w:rsidR="00C26772" w:rsidRPr="00C26772" w:rsidRDefault="00C26772" w:rsidP="00C26772">
            <w:pPr>
              <w:tabs>
                <w:tab w:val="left" w:pos="1885"/>
              </w:tabs>
              <w:jc w:val="center"/>
              <w:rPr>
                <w:rFonts w:ascii="Times New Roman" w:hAnsi="Times New Roman" w:cs="Times New Roman"/>
                <w:b/>
              </w:rPr>
            </w:pPr>
            <w:r w:rsidRPr="00C26772">
              <w:rPr>
                <w:rFonts w:ascii="Times New Roman" w:hAnsi="Times New Roman" w:cs="Times New Roman"/>
                <w:b/>
              </w:rPr>
              <w:t>%</w:t>
            </w:r>
          </w:p>
        </w:tc>
        <w:tc>
          <w:tcPr>
            <w:tcW w:w="1336" w:type="dxa"/>
            <w:shd w:val="clear" w:color="auto" w:fill="auto"/>
            <w:vAlign w:val="center"/>
          </w:tcPr>
          <w:p w:rsidR="00C26772" w:rsidRPr="00C26772" w:rsidRDefault="00C26772" w:rsidP="00C26772">
            <w:pPr>
              <w:tabs>
                <w:tab w:val="left" w:pos="1885"/>
              </w:tabs>
              <w:jc w:val="center"/>
              <w:rPr>
                <w:rFonts w:ascii="Times New Roman" w:hAnsi="Times New Roman" w:cs="Times New Roman"/>
                <w:b/>
              </w:rPr>
            </w:pPr>
            <w:r w:rsidRPr="00C26772">
              <w:rPr>
                <w:rFonts w:ascii="Times New Roman" w:hAnsi="Times New Roman" w:cs="Times New Roman"/>
                <w:b/>
              </w:rPr>
              <w:t>Број поступака мале вредности</w:t>
            </w:r>
          </w:p>
        </w:tc>
        <w:tc>
          <w:tcPr>
            <w:tcW w:w="1015" w:type="dxa"/>
            <w:shd w:val="clear" w:color="auto" w:fill="auto"/>
            <w:vAlign w:val="center"/>
          </w:tcPr>
          <w:p w:rsidR="00C26772" w:rsidRPr="00C26772" w:rsidRDefault="00C26772" w:rsidP="00C26772">
            <w:pPr>
              <w:tabs>
                <w:tab w:val="left" w:pos="1885"/>
              </w:tabs>
              <w:jc w:val="center"/>
              <w:rPr>
                <w:rFonts w:ascii="Times New Roman" w:hAnsi="Times New Roman" w:cs="Times New Roman"/>
                <w:b/>
              </w:rPr>
            </w:pPr>
            <w:r w:rsidRPr="00C26772">
              <w:rPr>
                <w:rFonts w:ascii="Times New Roman" w:hAnsi="Times New Roman" w:cs="Times New Roman"/>
                <w:b/>
              </w:rPr>
              <w:t>%</w:t>
            </w:r>
          </w:p>
        </w:tc>
        <w:tc>
          <w:tcPr>
            <w:tcW w:w="1047" w:type="dxa"/>
            <w:shd w:val="clear" w:color="auto" w:fill="auto"/>
            <w:vAlign w:val="center"/>
          </w:tcPr>
          <w:p w:rsidR="00C26772" w:rsidRPr="00C26772" w:rsidRDefault="00C26772" w:rsidP="00C26772">
            <w:pPr>
              <w:tabs>
                <w:tab w:val="left" w:pos="1885"/>
              </w:tabs>
              <w:jc w:val="center"/>
              <w:rPr>
                <w:rFonts w:ascii="Times New Roman" w:hAnsi="Times New Roman" w:cs="Times New Roman"/>
                <w:b/>
              </w:rPr>
            </w:pPr>
            <w:r w:rsidRPr="00C26772">
              <w:rPr>
                <w:rFonts w:ascii="Times New Roman" w:hAnsi="Times New Roman" w:cs="Times New Roman"/>
                <w:b/>
              </w:rPr>
              <w:t>Укупно</w:t>
            </w:r>
          </w:p>
        </w:tc>
        <w:tc>
          <w:tcPr>
            <w:tcW w:w="966" w:type="dxa"/>
            <w:shd w:val="clear" w:color="auto" w:fill="auto"/>
            <w:vAlign w:val="center"/>
          </w:tcPr>
          <w:p w:rsidR="00C26772" w:rsidRPr="00C26772" w:rsidRDefault="00C26772" w:rsidP="00C26772">
            <w:pPr>
              <w:tabs>
                <w:tab w:val="left" w:pos="1885"/>
              </w:tabs>
              <w:jc w:val="center"/>
              <w:rPr>
                <w:rFonts w:ascii="Times New Roman" w:hAnsi="Times New Roman" w:cs="Times New Roman"/>
                <w:b/>
              </w:rPr>
            </w:pPr>
            <w:r w:rsidRPr="00C26772">
              <w:rPr>
                <w:rFonts w:ascii="Times New Roman" w:hAnsi="Times New Roman" w:cs="Times New Roman"/>
                <w:b/>
              </w:rPr>
              <w:t>%</w:t>
            </w:r>
          </w:p>
        </w:tc>
      </w:tr>
      <w:tr w:rsidR="00C26772" w:rsidRPr="00C26772" w:rsidTr="00A8404D">
        <w:trPr>
          <w:trHeight w:val="699"/>
          <w:jc w:val="center"/>
        </w:trPr>
        <w:tc>
          <w:tcPr>
            <w:tcW w:w="1688" w:type="dxa"/>
            <w:shd w:val="clear" w:color="auto" w:fill="auto"/>
            <w:vAlign w:val="center"/>
          </w:tcPr>
          <w:p w:rsidR="00C26772" w:rsidRPr="00C26772" w:rsidRDefault="00C26772" w:rsidP="00C26772">
            <w:pPr>
              <w:tabs>
                <w:tab w:val="left" w:pos="1885"/>
              </w:tabs>
              <w:jc w:val="center"/>
              <w:rPr>
                <w:rFonts w:ascii="Times New Roman" w:hAnsi="Times New Roman" w:cs="Times New Roman"/>
                <w:b/>
              </w:rPr>
            </w:pPr>
            <w:r w:rsidRPr="00C26772">
              <w:rPr>
                <w:rFonts w:ascii="Times New Roman" w:hAnsi="Times New Roman" w:cs="Times New Roman"/>
                <w:b/>
              </w:rPr>
              <w:t>Успешно спроведени</w:t>
            </w:r>
          </w:p>
        </w:tc>
        <w:tc>
          <w:tcPr>
            <w:tcW w:w="1336" w:type="dxa"/>
            <w:shd w:val="clear" w:color="auto" w:fill="auto"/>
            <w:vAlign w:val="center"/>
          </w:tcPr>
          <w:p w:rsidR="00C26772" w:rsidRPr="00C26772" w:rsidRDefault="00C26772" w:rsidP="00C26772">
            <w:pPr>
              <w:tabs>
                <w:tab w:val="left" w:pos="1885"/>
              </w:tabs>
              <w:jc w:val="center"/>
              <w:rPr>
                <w:rFonts w:ascii="Times New Roman" w:hAnsi="Times New Roman" w:cs="Times New Roman"/>
                <w:lang w:val="sr-Cyrl-CS"/>
              </w:rPr>
            </w:pPr>
            <w:r w:rsidRPr="00C26772">
              <w:rPr>
                <w:rFonts w:ascii="Times New Roman" w:hAnsi="Times New Roman" w:cs="Times New Roman"/>
                <w:lang w:val="sr-Cyrl-CS"/>
              </w:rPr>
              <w:t>10.575</w:t>
            </w:r>
          </w:p>
        </w:tc>
        <w:tc>
          <w:tcPr>
            <w:tcW w:w="1015" w:type="dxa"/>
            <w:shd w:val="clear" w:color="auto" w:fill="auto"/>
            <w:vAlign w:val="center"/>
          </w:tcPr>
          <w:p w:rsidR="00C26772" w:rsidRPr="00C26772" w:rsidRDefault="00C26772" w:rsidP="00C26772">
            <w:pPr>
              <w:tabs>
                <w:tab w:val="left" w:pos="1885"/>
              </w:tabs>
              <w:jc w:val="center"/>
              <w:rPr>
                <w:rFonts w:ascii="Times New Roman" w:hAnsi="Times New Roman" w:cs="Times New Roman"/>
                <w:lang w:val="sr-Cyrl-CS"/>
              </w:rPr>
            </w:pPr>
            <w:r w:rsidRPr="00C26772">
              <w:rPr>
                <w:rFonts w:ascii="Times New Roman" w:hAnsi="Times New Roman" w:cs="Times New Roman"/>
                <w:lang w:val="sr-Cyrl-CS"/>
              </w:rPr>
              <w:t>85</w:t>
            </w:r>
          </w:p>
        </w:tc>
        <w:tc>
          <w:tcPr>
            <w:tcW w:w="1336" w:type="dxa"/>
            <w:shd w:val="clear" w:color="auto" w:fill="auto"/>
            <w:vAlign w:val="center"/>
          </w:tcPr>
          <w:p w:rsidR="00C26772" w:rsidRPr="00C26772" w:rsidRDefault="00C26772" w:rsidP="00C26772">
            <w:pPr>
              <w:tabs>
                <w:tab w:val="left" w:pos="1885"/>
              </w:tabs>
              <w:jc w:val="center"/>
              <w:rPr>
                <w:rFonts w:ascii="Times New Roman" w:hAnsi="Times New Roman" w:cs="Times New Roman"/>
                <w:lang w:val="sr-Cyrl-CS"/>
              </w:rPr>
            </w:pPr>
            <w:r w:rsidRPr="00C26772">
              <w:rPr>
                <w:rFonts w:ascii="Times New Roman" w:hAnsi="Times New Roman" w:cs="Times New Roman"/>
                <w:lang w:val="sr-Cyrl-CS"/>
              </w:rPr>
              <w:t>13.172</w:t>
            </w:r>
          </w:p>
        </w:tc>
        <w:tc>
          <w:tcPr>
            <w:tcW w:w="1015" w:type="dxa"/>
            <w:shd w:val="clear" w:color="auto" w:fill="auto"/>
            <w:vAlign w:val="center"/>
          </w:tcPr>
          <w:p w:rsidR="00C26772" w:rsidRPr="00C26772" w:rsidRDefault="00C26772" w:rsidP="00C26772">
            <w:pPr>
              <w:tabs>
                <w:tab w:val="left" w:pos="1885"/>
              </w:tabs>
              <w:jc w:val="center"/>
              <w:rPr>
                <w:rFonts w:ascii="Times New Roman" w:hAnsi="Times New Roman" w:cs="Times New Roman"/>
                <w:lang w:val="sr-Cyrl-CS"/>
              </w:rPr>
            </w:pPr>
            <w:r w:rsidRPr="00C26772">
              <w:rPr>
                <w:rFonts w:ascii="Times New Roman" w:hAnsi="Times New Roman" w:cs="Times New Roman"/>
                <w:lang w:val="sr-Cyrl-CS"/>
              </w:rPr>
              <w:t>89</w:t>
            </w:r>
          </w:p>
        </w:tc>
        <w:tc>
          <w:tcPr>
            <w:tcW w:w="1047" w:type="dxa"/>
            <w:shd w:val="clear" w:color="auto" w:fill="auto"/>
            <w:vAlign w:val="center"/>
          </w:tcPr>
          <w:p w:rsidR="00C26772" w:rsidRPr="00C26772" w:rsidRDefault="00C26772" w:rsidP="00C26772">
            <w:pPr>
              <w:tabs>
                <w:tab w:val="left" w:pos="1885"/>
              </w:tabs>
              <w:jc w:val="center"/>
              <w:rPr>
                <w:rFonts w:ascii="Times New Roman" w:hAnsi="Times New Roman" w:cs="Times New Roman"/>
                <w:lang w:val="sr-Cyrl-CS"/>
              </w:rPr>
            </w:pPr>
            <w:r w:rsidRPr="00C26772">
              <w:rPr>
                <w:rFonts w:ascii="Times New Roman" w:hAnsi="Times New Roman" w:cs="Times New Roman"/>
                <w:lang w:val="sr-Cyrl-CS"/>
              </w:rPr>
              <w:t>23.747</w:t>
            </w:r>
          </w:p>
        </w:tc>
        <w:tc>
          <w:tcPr>
            <w:tcW w:w="966" w:type="dxa"/>
            <w:shd w:val="clear" w:color="auto" w:fill="auto"/>
            <w:vAlign w:val="center"/>
          </w:tcPr>
          <w:p w:rsidR="00C26772" w:rsidRPr="00C26772" w:rsidRDefault="00C26772" w:rsidP="00C26772">
            <w:pPr>
              <w:tabs>
                <w:tab w:val="left" w:pos="1885"/>
              </w:tabs>
              <w:jc w:val="center"/>
              <w:rPr>
                <w:rFonts w:ascii="Times New Roman" w:hAnsi="Times New Roman" w:cs="Times New Roman"/>
                <w:lang w:val="sr-Cyrl-CS"/>
              </w:rPr>
            </w:pPr>
            <w:r w:rsidRPr="00C26772">
              <w:rPr>
                <w:rFonts w:ascii="Times New Roman" w:hAnsi="Times New Roman" w:cs="Times New Roman"/>
                <w:lang w:val="sr-Cyrl-CS"/>
              </w:rPr>
              <w:t>87</w:t>
            </w:r>
          </w:p>
        </w:tc>
      </w:tr>
      <w:tr w:rsidR="00C26772" w:rsidRPr="00C26772" w:rsidTr="00A8404D">
        <w:trPr>
          <w:trHeight w:val="486"/>
          <w:jc w:val="center"/>
        </w:trPr>
        <w:tc>
          <w:tcPr>
            <w:tcW w:w="1688" w:type="dxa"/>
            <w:shd w:val="clear" w:color="auto" w:fill="auto"/>
            <w:vAlign w:val="center"/>
          </w:tcPr>
          <w:p w:rsidR="00C26772" w:rsidRPr="00C26772" w:rsidRDefault="00C26772" w:rsidP="00C26772">
            <w:pPr>
              <w:tabs>
                <w:tab w:val="left" w:pos="1885"/>
              </w:tabs>
              <w:jc w:val="center"/>
              <w:rPr>
                <w:rFonts w:ascii="Times New Roman" w:hAnsi="Times New Roman" w:cs="Times New Roman"/>
                <w:b/>
              </w:rPr>
            </w:pPr>
            <w:r w:rsidRPr="00C26772">
              <w:rPr>
                <w:rFonts w:ascii="Times New Roman" w:hAnsi="Times New Roman" w:cs="Times New Roman"/>
                <w:b/>
              </w:rPr>
              <w:t>Обустављени</w:t>
            </w:r>
          </w:p>
        </w:tc>
        <w:tc>
          <w:tcPr>
            <w:tcW w:w="1336" w:type="dxa"/>
            <w:shd w:val="clear" w:color="auto" w:fill="auto"/>
            <w:vAlign w:val="center"/>
          </w:tcPr>
          <w:p w:rsidR="00C26772" w:rsidRPr="00C26772" w:rsidRDefault="00C26772" w:rsidP="00C26772">
            <w:pPr>
              <w:tabs>
                <w:tab w:val="left" w:pos="1885"/>
              </w:tabs>
              <w:jc w:val="center"/>
              <w:rPr>
                <w:rFonts w:ascii="Times New Roman" w:hAnsi="Times New Roman" w:cs="Times New Roman"/>
                <w:lang w:val="sr-Cyrl-CS"/>
              </w:rPr>
            </w:pPr>
            <w:r w:rsidRPr="00C26772">
              <w:rPr>
                <w:rFonts w:ascii="Times New Roman" w:hAnsi="Times New Roman" w:cs="Times New Roman"/>
                <w:lang w:val="sr-Cyrl-CS"/>
              </w:rPr>
              <w:t>1.835</w:t>
            </w:r>
          </w:p>
        </w:tc>
        <w:tc>
          <w:tcPr>
            <w:tcW w:w="1015" w:type="dxa"/>
            <w:shd w:val="clear" w:color="auto" w:fill="auto"/>
            <w:vAlign w:val="center"/>
          </w:tcPr>
          <w:p w:rsidR="00C26772" w:rsidRPr="00C26772" w:rsidRDefault="00C26772" w:rsidP="00C26772">
            <w:pPr>
              <w:tabs>
                <w:tab w:val="left" w:pos="1885"/>
              </w:tabs>
              <w:jc w:val="center"/>
              <w:rPr>
                <w:rFonts w:ascii="Times New Roman" w:hAnsi="Times New Roman" w:cs="Times New Roman"/>
                <w:lang w:val="sr-Cyrl-CS"/>
              </w:rPr>
            </w:pPr>
            <w:r w:rsidRPr="00C26772">
              <w:rPr>
                <w:rFonts w:ascii="Times New Roman" w:hAnsi="Times New Roman" w:cs="Times New Roman"/>
                <w:lang w:val="sr-Cyrl-CS"/>
              </w:rPr>
              <w:t>14</w:t>
            </w:r>
          </w:p>
        </w:tc>
        <w:tc>
          <w:tcPr>
            <w:tcW w:w="1336" w:type="dxa"/>
            <w:shd w:val="clear" w:color="auto" w:fill="auto"/>
            <w:vAlign w:val="center"/>
          </w:tcPr>
          <w:p w:rsidR="00C26772" w:rsidRPr="00C26772" w:rsidRDefault="00C26772" w:rsidP="00C26772">
            <w:pPr>
              <w:tabs>
                <w:tab w:val="left" w:pos="1885"/>
              </w:tabs>
              <w:jc w:val="center"/>
              <w:rPr>
                <w:rFonts w:ascii="Times New Roman" w:hAnsi="Times New Roman" w:cs="Times New Roman"/>
                <w:lang w:val="sr-Cyrl-CS"/>
              </w:rPr>
            </w:pPr>
            <w:r w:rsidRPr="00C26772">
              <w:rPr>
                <w:rFonts w:ascii="Times New Roman" w:hAnsi="Times New Roman" w:cs="Times New Roman"/>
                <w:lang w:val="sr-Cyrl-CS"/>
              </w:rPr>
              <w:t>1.534</w:t>
            </w:r>
          </w:p>
        </w:tc>
        <w:tc>
          <w:tcPr>
            <w:tcW w:w="1015" w:type="dxa"/>
            <w:shd w:val="clear" w:color="auto" w:fill="auto"/>
            <w:vAlign w:val="center"/>
          </w:tcPr>
          <w:p w:rsidR="00C26772" w:rsidRPr="00C26772" w:rsidRDefault="00C26772" w:rsidP="00C26772">
            <w:pPr>
              <w:tabs>
                <w:tab w:val="left" w:pos="1885"/>
              </w:tabs>
              <w:jc w:val="center"/>
              <w:rPr>
                <w:rFonts w:ascii="Times New Roman" w:hAnsi="Times New Roman" w:cs="Times New Roman"/>
                <w:lang w:val="sr-Cyrl-CS"/>
              </w:rPr>
            </w:pPr>
            <w:r w:rsidRPr="00C26772">
              <w:rPr>
                <w:rFonts w:ascii="Times New Roman" w:hAnsi="Times New Roman" w:cs="Times New Roman"/>
                <w:lang w:val="sr-Cyrl-CS"/>
              </w:rPr>
              <w:t>10</w:t>
            </w:r>
          </w:p>
        </w:tc>
        <w:tc>
          <w:tcPr>
            <w:tcW w:w="1047" w:type="dxa"/>
            <w:shd w:val="clear" w:color="auto" w:fill="auto"/>
            <w:vAlign w:val="center"/>
          </w:tcPr>
          <w:p w:rsidR="00C26772" w:rsidRPr="00C26772" w:rsidRDefault="00C26772" w:rsidP="00C26772">
            <w:pPr>
              <w:tabs>
                <w:tab w:val="left" w:pos="1885"/>
              </w:tabs>
              <w:jc w:val="center"/>
              <w:rPr>
                <w:rFonts w:ascii="Times New Roman" w:hAnsi="Times New Roman" w:cs="Times New Roman"/>
                <w:lang w:val="sr-Cyrl-CS"/>
              </w:rPr>
            </w:pPr>
            <w:r w:rsidRPr="00C26772">
              <w:rPr>
                <w:rFonts w:ascii="Times New Roman" w:hAnsi="Times New Roman" w:cs="Times New Roman"/>
                <w:lang w:val="sr-Cyrl-CS"/>
              </w:rPr>
              <w:t>3.369</w:t>
            </w:r>
          </w:p>
        </w:tc>
        <w:tc>
          <w:tcPr>
            <w:tcW w:w="966" w:type="dxa"/>
            <w:shd w:val="clear" w:color="auto" w:fill="auto"/>
            <w:vAlign w:val="center"/>
          </w:tcPr>
          <w:p w:rsidR="00C26772" w:rsidRPr="00C26772" w:rsidRDefault="00C26772" w:rsidP="00C26772">
            <w:pPr>
              <w:tabs>
                <w:tab w:val="left" w:pos="1885"/>
              </w:tabs>
              <w:jc w:val="center"/>
              <w:rPr>
                <w:rFonts w:ascii="Times New Roman" w:hAnsi="Times New Roman" w:cs="Times New Roman"/>
                <w:lang w:val="sr-Cyrl-CS"/>
              </w:rPr>
            </w:pPr>
            <w:r w:rsidRPr="00C26772">
              <w:rPr>
                <w:rFonts w:ascii="Times New Roman" w:hAnsi="Times New Roman" w:cs="Times New Roman"/>
                <w:lang w:val="sr-Cyrl-CS"/>
              </w:rPr>
              <w:t>12</w:t>
            </w:r>
          </w:p>
        </w:tc>
      </w:tr>
      <w:tr w:rsidR="00C26772" w:rsidRPr="00C26772" w:rsidTr="00A8404D">
        <w:trPr>
          <w:trHeight w:val="776"/>
          <w:jc w:val="center"/>
        </w:trPr>
        <w:tc>
          <w:tcPr>
            <w:tcW w:w="1688" w:type="dxa"/>
            <w:shd w:val="clear" w:color="auto" w:fill="auto"/>
            <w:vAlign w:val="center"/>
          </w:tcPr>
          <w:p w:rsidR="00C26772" w:rsidRPr="00C26772" w:rsidRDefault="00C26772" w:rsidP="00C26772">
            <w:pPr>
              <w:tabs>
                <w:tab w:val="left" w:pos="1885"/>
              </w:tabs>
              <w:jc w:val="center"/>
              <w:rPr>
                <w:rFonts w:ascii="Times New Roman" w:hAnsi="Times New Roman" w:cs="Times New Roman"/>
                <w:b/>
              </w:rPr>
            </w:pPr>
            <w:r w:rsidRPr="00C26772">
              <w:rPr>
                <w:rFonts w:ascii="Times New Roman" w:hAnsi="Times New Roman" w:cs="Times New Roman"/>
                <w:b/>
              </w:rPr>
              <w:t>Поништени делимично</w:t>
            </w:r>
          </w:p>
        </w:tc>
        <w:tc>
          <w:tcPr>
            <w:tcW w:w="1336" w:type="dxa"/>
            <w:shd w:val="clear" w:color="auto" w:fill="auto"/>
            <w:vAlign w:val="center"/>
          </w:tcPr>
          <w:p w:rsidR="00C26772" w:rsidRPr="00C26772" w:rsidRDefault="00C26772" w:rsidP="00C26772">
            <w:pPr>
              <w:tabs>
                <w:tab w:val="left" w:pos="1885"/>
              </w:tabs>
              <w:jc w:val="center"/>
              <w:rPr>
                <w:rFonts w:ascii="Times New Roman" w:hAnsi="Times New Roman" w:cs="Times New Roman"/>
                <w:lang w:val="sr-Cyrl-CS"/>
              </w:rPr>
            </w:pPr>
            <w:r w:rsidRPr="00C26772">
              <w:rPr>
                <w:rFonts w:ascii="Times New Roman" w:hAnsi="Times New Roman" w:cs="Times New Roman"/>
                <w:lang w:val="sr-Cyrl-CS"/>
              </w:rPr>
              <w:t>15</w:t>
            </w:r>
          </w:p>
        </w:tc>
        <w:tc>
          <w:tcPr>
            <w:tcW w:w="1015" w:type="dxa"/>
            <w:shd w:val="clear" w:color="auto" w:fill="auto"/>
            <w:vAlign w:val="center"/>
          </w:tcPr>
          <w:p w:rsidR="00C26772" w:rsidRPr="00C26772" w:rsidRDefault="00C26772" w:rsidP="00C26772">
            <w:pPr>
              <w:tabs>
                <w:tab w:val="left" w:pos="1885"/>
              </w:tabs>
              <w:jc w:val="center"/>
              <w:rPr>
                <w:rFonts w:ascii="Times New Roman" w:hAnsi="Times New Roman" w:cs="Times New Roman"/>
                <w:lang w:val="sr-Cyrl-CS"/>
              </w:rPr>
            </w:pPr>
            <w:r w:rsidRPr="00C26772">
              <w:rPr>
                <w:rFonts w:ascii="Times New Roman" w:hAnsi="Times New Roman" w:cs="Times New Roman"/>
                <w:lang w:val="sr-Cyrl-CS"/>
              </w:rPr>
              <w:t>0</w:t>
            </w:r>
          </w:p>
        </w:tc>
        <w:tc>
          <w:tcPr>
            <w:tcW w:w="1336" w:type="dxa"/>
            <w:shd w:val="clear" w:color="auto" w:fill="auto"/>
            <w:vAlign w:val="center"/>
          </w:tcPr>
          <w:p w:rsidR="00C26772" w:rsidRPr="00C26772" w:rsidRDefault="00C26772" w:rsidP="00C26772">
            <w:pPr>
              <w:tabs>
                <w:tab w:val="left" w:pos="1885"/>
              </w:tabs>
              <w:jc w:val="center"/>
              <w:rPr>
                <w:rFonts w:ascii="Times New Roman" w:hAnsi="Times New Roman" w:cs="Times New Roman"/>
                <w:lang w:val="sr-Cyrl-CS"/>
              </w:rPr>
            </w:pPr>
            <w:r w:rsidRPr="00C26772">
              <w:rPr>
                <w:rFonts w:ascii="Times New Roman" w:hAnsi="Times New Roman" w:cs="Times New Roman"/>
                <w:lang w:val="sr-Cyrl-CS"/>
              </w:rPr>
              <w:t>5</w:t>
            </w:r>
          </w:p>
        </w:tc>
        <w:tc>
          <w:tcPr>
            <w:tcW w:w="1015" w:type="dxa"/>
            <w:shd w:val="clear" w:color="auto" w:fill="auto"/>
            <w:vAlign w:val="center"/>
          </w:tcPr>
          <w:p w:rsidR="00C26772" w:rsidRPr="00C26772" w:rsidRDefault="00C26772" w:rsidP="00C26772">
            <w:pPr>
              <w:tabs>
                <w:tab w:val="left" w:pos="1885"/>
              </w:tabs>
              <w:jc w:val="center"/>
              <w:rPr>
                <w:rFonts w:ascii="Times New Roman" w:hAnsi="Times New Roman" w:cs="Times New Roman"/>
                <w:lang w:val="sr-Cyrl-CS"/>
              </w:rPr>
            </w:pPr>
            <w:r w:rsidRPr="00C26772">
              <w:rPr>
                <w:rFonts w:ascii="Times New Roman" w:hAnsi="Times New Roman" w:cs="Times New Roman"/>
                <w:lang w:val="sr-Cyrl-CS"/>
              </w:rPr>
              <w:t>0</w:t>
            </w:r>
          </w:p>
        </w:tc>
        <w:tc>
          <w:tcPr>
            <w:tcW w:w="1047" w:type="dxa"/>
            <w:shd w:val="clear" w:color="auto" w:fill="auto"/>
            <w:vAlign w:val="center"/>
          </w:tcPr>
          <w:p w:rsidR="00C26772" w:rsidRPr="00C26772" w:rsidRDefault="00C26772" w:rsidP="00C26772">
            <w:pPr>
              <w:tabs>
                <w:tab w:val="left" w:pos="1885"/>
              </w:tabs>
              <w:jc w:val="center"/>
              <w:rPr>
                <w:rFonts w:ascii="Times New Roman" w:hAnsi="Times New Roman" w:cs="Times New Roman"/>
                <w:lang w:val="sr-Cyrl-CS"/>
              </w:rPr>
            </w:pPr>
            <w:r w:rsidRPr="00C26772">
              <w:rPr>
                <w:rFonts w:ascii="Times New Roman" w:hAnsi="Times New Roman" w:cs="Times New Roman"/>
                <w:lang w:val="sr-Cyrl-CS"/>
              </w:rPr>
              <w:t>20</w:t>
            </w:r>
          </w:p>
        </w:tc>
        <w:tc>
          <w:tcPr>
            <w:tcW w:w="966" w:type="dxa"/>
            <w:shd w:val="clear" w:color="auto" w:fill="auto"/>
            <w:vAlign w:val="center"/>
          </w:tcPr>
          <w:p w:rsidR="00C26772" w:rsidRPr="00C26772" w:rsidRDefault="00C26772" w:rsidP="00C26772">
            <w:pPr>
              <w:tabs>
                <w:tab w:val="left" w:pos="1885"/>
              </w:tabs>
              <w:jc w:val="center"/>
              <w:rPr>
                <w:rFonts w:ascii="Times New Roman" w:hAnsi="Times New Roman" w:cs="Times New Roman"/>
                <w:lang w:val="sr-Cyrl-CS"/>
              </w:rPr>
            </w:pPr>
            <w:r w:rsidRPr="00C26772">
              <w:rPr>
                <w:rFonts w:ascii="Times New Roman" w:hAnsi="Times New Roman" w:cs="Times New Roman"/>
                <w:lang w:val="sr-Cyrl-CS"/>
              </w:rPr>
              <w:t>0</w:t>
            </w:r>
          </w:p>
        </w:tc>
      </w:tr>
      <w:tr w:rsidR="00C26772" w:rsidRPr="00C26772" w:rsidTr="00A8404D">
        <w:trPr>
          <w:trHeight w:val="762"/>
          <w:jc w:val="center"/>
        </w:trPr>
        <w:tc>
          <w:tcPr>
            <w:tcW w:w="1688" w:type="dxa"/>
            <w:shd w:val="clear" w:color="auto" w:fill="auto"/>
            <w:vAlign w:val="center"/>
          </w:tcPr>
          <w:p w:rsidR="00C26772" w:rsidRPr="00A26735" w:rsidRDefault="00C26772" w:rsidP="00A26735">
            <w:pPr>
              <w:tabs>
                <w:tab w:val="left" w:pos="1885"/>
              </w:tabs>
              <w:jc w:val="center"/>
              <w:rPr>
                <w:rFonts w:ascii="Times New Roman" w:hAnsi="Times New Roman" w:cs="Times New Roman"/>
                <w:b/>
                <w:lang w:val="sr-Cyrl-RS"/>
              </w:rPr>
            </w:pPr>
            <w:r w:rsidRPr="00C26772">
              <w:rPr>
                <w:rFonts w:ascii="Times New Roman" w:hAnsi="Times New Roman" w:cs="Times New Roman"/>
                <w:b/>
              </w:rPr>
              <w:t>Поништени у целини</w:t>
            </w:r>
          </w:p>
        </w:tc>
        <w:tc>
          <w:tcPr>
            <w:tcW w:w="1336" w:type="dxa"/>
            <w:shd w:val="clear" w:color="auto" w:fill="auto"/>
            <w:vAlign w:val="center"/>
          </w:tcPr>
          <w:p w:rsidR="00C26772" w:rsidRPr="00C26772" w:rsidRDefault="00C26772" w:rsidP="00C26772">
            <w:pPr>
              <w:tabs>
                <w:tab w:val="left" w:pos="1885"/>
              </w:tabs>
              <w:jc w:val="center"/>
              <w:rPr>
                <w:rFonts w:ascii="Times New Roman" w:hAnsi="Times New Roman" w:cs="Times New Roman"/>
                <w:lang w:val="sr-Cyrl-CS"/>
              </w:rPr>
            </w:pPr>
            <w:r w:rsidRPr="00C26772">
              <w:rPr>
                <w:rFonts w:ascii="Times New Roman" w:hAnsi="Times New Roman" w:cs="Times New Roman"/>
                <w:lang w:val="sr-Cyrl-CS"/>
              </w:rPr>
              <w:t>86</w:t>
            </w:r>
          </w:p>
        </w:tc>
        <w:tc>
          <w:tcPr>
            <w:tcW w:w="1015" w:type="dxa"/>
            <w:shd w:val="clear" w:color="auto" w:fill="auto"/>
            <w:vAlign w:val="center"/>
          </w:tcPr>
          <w:p w:rsidR="00C26772" w:rsidRPr="00C26772" w:rsidRDefault="00C26772" w:rsidP="00C26772">
            <w:pPr>
              <w:tabs>
                <w:tab w:val="left" w:pos="1885"/>
              </w:tabs>
              <w:jc w:val="center"/>
              <w:rPr>
                <w:rFonts w:ascii="Times New Roman" w:hAnsi="Times New Roman" w:cs="Times New Roman"/>
                <w:lang w:val="sr-Cyrl-CS"/>
              </w:rPr>
            </w:pPr>
            <w:r w:rsidRPr="00C26772">
              <w:rPr>
                <w:rFonts w:ascii="Times New Roman" w:hAnsi="Times New Roman" w:cs="Times New Roman"/>
                <w:lang w:val="sr-Cyrl-CS"/>
              </w:rPr>
              <w:t>1</w:t>
            </w:r>
          </w:p>
        </w:tc>
        <w:tc>
          <w:tcPr>
            <w:tcW w:w="1336" w:type="dxa"/>
            <w:shd w:val="clear" w:color="auto" w:fill="auto"/>
            <w:vAlign w:val="center"/>
          </w:tcPr>
          <w:p w:rsidR="00C26772" w:rsidRPr="00C26772" w:rsidRDefault="00C26772" w:rsidP="00C26772">
            <w:pPr>
              <w:tabs>
                <w:tab w:val="left" w:pos="1885"/>
              </w:tabs>
              <w:jc w:val="center"/>
              <w:rPr>
                <w:rFonts w:ascii="Times New Roman" w:hAnsi="Times New Roman" w:cs="Times New Roman"/>
                <w:lang w:val="sr-Cyrl-CS"/>
              </w:rPr>
            </w:pPr>
            <w:r w:rsidRPr="00C26772">
              <w:rPr>
                <w:rFonts w:ascii="Times New Roman" w:hAnsi="Times New Roman" w:cs="Times New Roman"/>
                <w:lang w:val="sr-Cyrl-CS"/>
              </w:rPr>
              <w:t>93</w:t>
            </w:r>
          </w:p>
        </w:tc>
        <w:tc>
          <w:tcPr>
            <w:tcW w:w="1015" w:type="dxa"/>
            <w:shd w:val="clear" w:color="auto" w:fill="auto"/>
            <w:vAlign w:val="center"/>
          </w:tcPr>
          <w:p w:rsidR="00C26772" w:rsidRPr="00C26772" w:rsidRDefault="00C26772" w:rsidP="00C26772">
            <w:pPr>
              <w:tabs>
                <w:tab w:val="left" w:pos="1885"/>
              </w:tabs>
              <w:jc w:val="center"/>
              <w:rPr>
                <w:rFonts w:ascii="Times New Roman" w:hAnsi="Times New Roman" w:cs="Times New Roman"/>
                <w:lang w:val="sr-Cyrl-CS"/>
              </w:rPr>
            </w:pPr>
            <w:r w:rsidRPr="00C26772">
              <w:rPr>
                <w:rFonts w:ascii="Times New Roman" w:hAnsi="Times New Roman" w:cs="Times New Roman"/>
                <w:lang w:val="sr-Cyrl-CS"/>
              </w:rPr>
              <w:t>1</w:t>
            </w:r>
          </w:p>
        </w:tc>
        <w:tc>
          <w:tcPr>
            <w:tcW w:w="1047" w:type="dxa"/>
            <w:shd w:val="clear" w:color="auto" w:fill="auto"/>
            <w:vAlign w:val="center"/>
          </w:tcPr>
          <w:p w:rsidR="00C26772" w:rsidRPr="00C26772" w:rsidRDefault="00C26772" w:rsidP="00C26772">
            <w:pPr>
              <w:tabs>
                <w:tab w:val="left" w:pos="1885"/>
              </w:tabs>
              <w:jc w:val="center"/>
              <w:rPr>
                <w:rFonts w:ascii="Times New Roman" w:hAnsi="Times New Roman" w:cs="Times New Roman"/>
                <w:lang w:val="sr-Cyrl-CS"/>
              </w:rPr>
            </w:pPr>
            <w:r w:rsidRPr="00C26772">
              <w:rPr>
                <w:rFonts w:ascii="Times New Roman" w:hAnsi="Times New Roman" w:cs="Times New Roman"/>
                <w:lang w:val="sr-Cyrl-CS"/>
              </w:rPr>
              <w:t>179</w:t>
            </w:r>
          </w:p>
        </w:tc>
        <w:tc>
          <w:tcPr>
            <w:tcW w:w="966" w:type="dxa"/>
            <w:shd w:val="clear" w:color="auto" w:fill="auto"/>
            <w:vAlign w:val="center"/>
          </w:tcPr>
          <w:p w:rsidR="00C26772" w:rsidRPr="00C26772" w:rsidRDefault="00C26772" w:rsidP="00C26772">
            <w:pPr>
              <w:tabs>
                <w:tab w:val="left" w:pos="1885"/>
              </w:tabs>
              <w:jc w:val="center"/>
              <w:rPr>
                <w:rFonts w:ascii="Times New Roman" w:hAnsi="Times New Roman" w:cs="Times New Roman"/>
                <w:lang w:val="sr-Cyrl-CS"/>
              </w:rPr>
            </w:pPr>
            <w:r w:rsidRPr="00C26772">
              <w:rPr>
                <w:rFonts w:ascii="Times New Roman" w:hAnsi="Times New Roman" w:cs="Times New Roman"/>
                <w:lang w:val="sr-Cyrl-CS"/>
              </w:rPr>
              <w:t>1</w:t>
            </w:r>
          </w:p>
        </w:tc>
      </w:tr>
      <w:tr w:rsidR="00C26772" w:rsidRPr="00C26772" w:rsidTr="00A8404D">
        <w:trPr>
          <w:trHeight w:val="262"/>
          <w:jc w:val="center"/>
        </w:trPr>
        <w:tc>
          <w:tcPr>
            <w:tcW w:w="1688" w:type="dxa"/>
            <w:shd w:val="clear" w:color="auto" w:fill="auto"/>
            <w:vAlign w:val="center"/>
          </w:tcPr>
          <w:p w:rsidR="00C26772" w:rsidRPr="00C26772" w:rsidRDefault="00C26772" w:rsidP="00C26772">
            <w:pPr>
              <w:tabs>
                <w:tab w:val="left" w:pos="1885"/>
              </w:tabs>
              <w:jc w:val="center"/>
              <w:rPr>
                <w:rFonts w:ascii="Times New Roman" w:hAnsi="Times New Roman" w:cs="Times New Roman"/>
                <w:b/>
              </w:rPr>
            </w:pPr>
            <w:r w:rsidRPr="00C26772">
              <w:rPr>
                <w:rFonts w:ascii="Times New Roman" w:hAnsi="Times New Roman" w:cs="Times New Roman"/>
                <w:b/>
              </w:rPr>
              <w:t>Укупно</w:t>
            </w:r>
          </w:p>
        </w:tc>
        <w:tc>
          <w:tcPr>
            <w:tcW w:w="1336" w:type="dxa"/>
            <w:shd w:val="clear" w:color="auto" w:fill="auto"/>
            <w:vAlign w:val="center"/>
          </w:tcPr>
          <w:p w:rsidR="00C26772" w:rsidRPr="00C26772" w:rsidRDefault="00C26772" w:rsidP="00C26772">
            <w:pPr>
              <w:tabs>
                <w:tab w:val="left" w:pos="1885"/>
              </w:tabs>
              <w:jc w:val="center"/>
              <w:rPr>
                <w:rFonts w:ascii="Times New Roman" w:hAnsi="Times New Roman" w:cs="Times New Roman"/>
                <w:b/>
                <w:lang w:val="sr-Cyrl-CS"/>
              </w:rPr>
            </w:pPr>
            <w:r w:rsidRPr="00C26772">
              <w:rPr>
                <w:rFonts w:ascii="Times New Roman" w:hAnsi="Times New Roman" w:cs="Times New Roman"/>
                <w:b/>
                <w:lang w:val="sr-Cyrl-CS"/>
              </w:rPr>
              <w:t>12.511</w:t>
            </w:r>
          </w:p>
        </w:tc>
        <w:tc>
          <w:tcPr>
            <w:tcW w:w="1015" w:type="dxa"/>
            <w:shd w:val="clear" w:color="auto" w:fill="auto"/>
            <w:vAlign w:val="center"/>
          </w:tcPr>
          <w:p w:rsidR="00C26772" w:rsidRPr="00C26772" w:rsidRDefault="00C26772" w:rsidP="00C26772">
            <w:pPr>
              <w:tabs>
                <w:tab w:val="left" w:pos="1885"/>
              </w:tabs>
              <w:jc w:val="center"/>
              <w:rPr>
                <w:rFonts w:ascii="Times New Roman" w:hAnsi="Times New Roman" w:cs="Times New Roman"/>
                <w:b/>
                <w:lang w:val="sr-Cyrl-CS"/>
              </w:rPr>
            </w:pPr>
            <w:r w:rsidRPr="00C26772">
              <w:rPr>
                <w:rFonts w:ascii="Times New Roman" w:hAnsi="Times New Roman" w:cs="Times New Roman"/>
                <w:b/>
                <w:lang w:val="sr-Cyrl-CS"/>
              </w:rPr>
              <w:t>100</w:t>
            </w:r>
          </w:p>
        </w:tc>
        <w:tc>
          <w:tcPr>
            <w:tcW w:w="1336" w:type="dxa"/>
            <w:shd w:val="clear" w:color="auto" w:fill="auto"/>
            <w:vAlign w:val="center"/>
          </w:tcPr>
          <w:p w:rsidR="00C26772" w:rsidRPr="00C26772" w:rsidRDefault="00C26772" w:rsidP="00C26772">
            <w:pPr>
              <w:tabs>
                <w:tab w:val="left" w:pos="1885"/>
              </w:tabs>
              <w:jc w:val="center"/>
              <w:rPr>
                <w:rFonts w:ascii="Times New Roman" w:hAnsi="Times New Roman" w:cs="Times New Roman"/>
                <w:b/>
                <w:lang w:val="sr-Cyrl-CS"/>
              </w:rPr>
            </w:pPr>
            <w:r w:rsidRPr="00C26772">
              <w:rPr>
                <w:rFonts w:ascii="Times New Roman" w:hAnsi="Times New Roman" w:cs="Times New Roman"/>
                <w:b/>
                <w:lang w:val="sr-Cyrl-CS"/>
              </w:rPr>
              <w:t>14.804</w:t>
            </w:r>
          </w:p>
        </w:tc>
        <w:tc>
          <w:tcPr>
            <w:tcW w:w="1015" w:type="dxa"/>
            <w:shd w:val="clear" w:color="auto" w:fill="auto"/>
            <w:vAlign w:val="center"/>
          </w:tcPr>
          <w:p w:rsidR="00C26772" w:rsidRPr="00C26772" w:rsidRDefault="00C26772" w:rsidP="00C26772">
            <w:pPr>
              <w:tabs>
                <w:tab w:val="left" w:pos="1885"/>
              </w:tabs>
              <w:jc w:val="center"/>
              <w:rPr>
                <w:rFonts w:ascii="Times New Roman" w:hAnsi="Times New Roman" w:cs="Times New Roman"/>
                <w:b/>
                <w:lang w:val="sr-Cyrl-CS"/>
              </w:rPr>
            </w:pPr>
            <w:r w:rsidRPr="00C26772">
              <w:rPr>
                <w:rFonts w:ascii="Times New Roman" w:hAnsi="Times New Roman" w:cs="Times New Roman"/>
                <w:b/>
                <w:lang w:val="sr-Cyrl-CS"/>
              </w:rPr>
              <w:t>100</w:t>
            </w:r>
          </w:p>
        </w:tc>
        <w:tc>
          <w:tcPr>
            <w:tcW w:w="1047" w:type="dxa"/>
            <w:shd w:val="clear" w:color="auto" w:fill="auto"/>
            <w:vAlign w:val="center"/>
          </w:tcPr>
          <w:p w:rsidR="00C26772" w:rsidRPr="00C26772" w:rsidRDefault="00C26772" w:rsidP="00C26772">
            <w:pPr>
              <w:tabs>
                <w:tab w:val="left" w:pos="1885"/>
              </w:tabs>
              <w:jc w:val="center"/>
              <w:rPr>
                <w:rFonts w:ascii="Times New Roman" w:hAnsi="Times New Roman" w:cs="Times New Roman"/>
                <w:b/>
                <w:lang w:val="sr-Cyrl-CS"/>
              </w:rPr>
            </w:pPr>
            <w:r w:rsidRPr="00C26772">
              <w:rPr>
                <w:rFonts w:ascii="Times New Roman" w:hAnsi="Times New Roman" w:cs="Times New Roman"/>
                <w:b/>
                <w:lang w:val="sr-Cyrl-CS"/>
              </w:rPr>
              <w:t>27.315</w:t>
            </w:r>
          </w:p>
        </w:tc>
        <w:tc>
          <w:tcPr>
            <w:tcW w:w="966" w:type="dxa"/>
            <w:shd w:val="clear" w:color="auto" w:fill="auto"/>
            <w:vAlign w:val="center"/>
          </w:tcPr>
          <w:p w:rsidR="00C26772" w:rsidRPr="00C26772" w:rsidRDefault="00C26772" w:rsidP="00C26772">
            <w:pPr>
              <w:tabs>
                <w:tab w:val="left" w:pos="1885"/>
              </w:tabs>
              <w:jc w:val="center"/>
              <w:rPr>
                <w:rFonts w:ascii="Times New Roman" w:hAnsi="Times New Roman" w:cs="Times New Roman"/>
                <w:b/>
                <w:lang w:val="sr-Cyrl-CS"/>
              </w:rPr>
            </w:pPr>
            <w:r w:rsidRPr="00C26772">
              <w:rPr>
                <w:rFonts w:ascii="Times New Roman" w:hAnsi="Times New Roman" w:cs="Times New Roman"/>
                <w:b/>
                <w:lang w:val="sr-Cyrl-CS"/>
              </w:rPr>
              <w:t>100</w:t>
            </w:r>
          </w:p>
        </w:tc>
      </w:tr>
    </w:tbl>
    <w:p w:rsidR="008B1816" w:rsidRPr="001A588E" w:rsidRDefault="008B1816" w:rsidP="00EB1EFC">
      <w:pPr>
        <w:jc w:val="center"/>
        <w:rPr>
          <w:rFonts w:ascii="Times New Roman" w:hAnsi="Times New Roman" w:cs="Times New Roman"/>
          <w:b/>
          <w:sz w:val="24"/>
          <w:szCs w:val="24"/>
        </w:rPr>
      </w:pPr>
      <w:r w:rsidRPr="001A588E">
        <w:rPr>
          <w:rFonts w:ascii="Times New Roman" w:hAnsi="Times New Roman" w:cs="Times New Roman"/>
          <w:b/>
          <w:sz w:val="24"/>
          <w:szCs w:val="24"/>
        </w:rPr>
        <w:lastRenderedPageBreak/>
        <w:t>С</w:t>
      </w:r>
      <w:r w:rsidR="005F5974" w:rsidRPr="001A588E">
        <w:rPr>
          <w:rFonts w:ascii="Times New Roman" w:hAnsi="Times New Roman" w:cs="Times New Roman"/>
          <w:b/>
          <w:sz w:val="24"/>
          <w:szCs w:val="24"/>
        </w:rPr>
        <w:t xml:space="preserve">лика </w:t>
      </w:r>
      <w:r w:rsidR="00C41DA4" w:rsidRPr="001A588E">
        <w:rPr>
          <w:rFonts w:ascii="Times New Roman" w:hAnsi="Times New Roman" w:cs="Times New Roman"/>
          <w:b/>
          <w:sz w:val="24"/>
          <w:szCs w:val="24"/>
        </w:rPr>
        <w:t>1</w:t>
      </w:r>
      <w:r w:rsidR="00505BD3" w:rsidRPr="001A588E">
        <w:rPr>
          <w:rFonts w:ascii="Times New Roman" w:hAnsi="Times New Roman" w:cs="Times New Roman"/>
          <w:b/>
          <w:sz w:val="24"/>
          <w:szCs w:val="24"/>
        </w:rPr>
        <w:t>2</w:t>
      </w:r>
    </w:p>
    <w:bookmarkStart w:id="9" w:name="_MON_1471246698"/>
    <w:bookmarkEnd w:id="9"/>
    <w:p w:rsidR="00637BC6" w:rsidRDefault="00560F54" w:rsidP="008B1816">
      <w:pPr>
        <w:jc w:val="center"/>
      </w:pPr>
      <w:r>
        <w:object w:dxaOrig="6926" w:dyaOrig="6308">
          <v:shape id="_x0000_i1033" type="#_x0000_t75" style="width:374.25pt;height:261.5pt" o:ole="">
            <v:imagedata r:id="rId40" o:title=""/>
          </v:shape>
          <o:OLEObject Type="Embed" ProgID="Excel.Sheet.12" ShapeID="_x0000_i1033" DrawAspect="Content" ObjectID="_1471688944" r:id="rId41"/>
        </w:object>
      </w:r>
    </w:p>
    <w:p w:rsidR="00367F37" w:rsidRPr="00D14DA3" w:rsidRDefault="007A00D3" w:rsidP="008B1816">
      <w:pPr>
        <w:jc w:val="both"/>
        <w:rPr>
          <w:rFonts w:ascii="Times New Roman" w:hAnsi="Times New Roman" w:cs="Times New Roman"/>
          <w:sz w:val="24"/>
          <w:szCs w:val="24"/>
        </w:rPr>
      </w:pPr>
      <w:r>
        <w:rPr>
          <w:rFonts w:ascii="Times New Roman" w:hAnsi="Times New Roman" w:cs="Times New Roman"/>
          <w:sz w:val="24"/>
          <w:szCs w:val="24"/>
        </w:rPr>
        <w:t>Наручиоци су сами обуставили 1</w:t>
      </w:r>
      <w:r w:rsidR="00505BD3">
        <w:rPr>
          <w:rFonts w:ascii="Times New Roman" w:hAnsi="Times New Roman" w:cs="Times New Roman"/>
          <w:sz w:val="24"/>
          <w:szCs w:val="24"/>
        </w:rPr>
        <w:t>2</w:t>
      </w:r>
      <w:r>
        <w:rPr>
          <w:rFonts w:ascii="Times New Roman" w:hAnsi="Times New Roman" w:cs="Times New Roman"/>
          <w:sz w:val="24"/>
          <w:szCs w:val="24"/>
        </w:rPr>
        <w:t xml:space="preserve">% поступака, најчешће </w:t>
      </w:r>
      <w:r w:rsidR="00A92087">
        <w:rPr>
          <w:rFonts w:ascii="Times New Roman" w:hAnsi="Times New Roman" w:cs="Times New Roman"/>
          <w:sz w:val="24"/>
          <w:szCs w:val="24"/>
        </w:rPr>
        <w:t>зато што су доби</w:t>
      </w:r>
      <w:r w:rsidR="00B26AAA">
        <w:rPr>
          <w:rFonts w:ascii="Times New Roman" w:hAnsi="Times New Roman" w:cs="Times New Roman"/>
          <w:sz w:val="24"/>
          <w:szCs w:val="24"/>
        </w:rPr>
        <w:t>ја</w:t>
      </w:r>
      <w:r w:rsidR="00A92087">
        <w:rPr>
          <w:rFonts w:ascii="Times New Roman" w:hAnsi="Times New Roman" w:cs="Times New Roman"/>
          <w:sz w:val="24"/>
          <w:szCs w:val="24"/>
        </w:rPr>
        <w:t>ли неисправне, неодговарајуће и неприхватљиве понуде (Слика 1</w:t>
      </w:r>
      <w:r w:rsidR="00505BD3">
        <w:rPr>
          <w:rFonts w:ascii="Times New Roman" w:hAnsi="Times New Roman" w:cs="Times New Roman"/>
          <w:sz w:val="24"/>
          <w:szCs w:val="24"/>
        </w:rPr>
        <w:t>3</w:t>
      </w:r>
      <w:r w:rsidR="00A92087">
        <w:rPr>
          <w:rFonts w:ascii="Times New Roman" w:hAnsi="Times New Roman" w:cs="Times New Roman"/>
          <w:sz w:val="24"/>
          <w:szCs w:val="24"/>
        </w:rPr>
        <w:t>).</w:t>
      </w:r>
    </w:p>
    <w:p w:rsidR="00D23077" w:rsidRPr="001A588E" w:rsidRDefault="008B1816" w:rsidP="00D23077">
      <w:pPr>
        <w:jc w:val="center"/>
        <w:rPr>
          <w:rFonts w:ascii="Times New Roman" w:hAnsi="Times New Roman" w:cs="Times New Roman"/>
          <w:b/>
          <w:sz w:val="24"/>
          <w:szCs w:val="24"/>
        </w:rPr>
      </w:pPr>
      <w:r w:rsidRPr="001A588E">
        <w:rPr>
          <w:rFonts w:ascii="Times New Roman" w:hAnsi="Times New Roman" w:cs="Times New Roman"/>
          <w:b/>
          <w:sz w:val="24"/>
          <w:szCs w:val="24"/>
        </w:rPr>
        <w:t>Слика</w:t>
      </w:r>
      <w:r w:rsidR="00505BD3" w:rsidRPr="001A588E">
        <w:rPr>
          <w:rFonts w:ascii="Times New Roman" w:hAnsi="Times New Roman" w:cs="Times New Roman"/>
          <w:b/>
          <w:sz w:val="24"/>
          <w:szCs w:val="24"/>
        </w:rPr>
        <w:t xml:space="preserve"> 13</w:t>
      </w:r>
    </w:p>
    <w:p w:rsidR="00A92087" w:rsidRPr="008B1816" w:rsidRDefault="00560F54" w:rsidP="008B1816">
      <w:pPr>
        <w:jc w:val="center"/>
        <w:rPr>
          <w:rFonts w:ascii="Times New Roman" w:hAnsi="Times New Roman" w:cs="Times New Roman"/>
          <w:b/>
          <w:sz w:val="24"/>
          <w:szCs w:val="24"/>
        </w:rPr>
      </w:pPr>
      <w:r w:rsidRPr="004A1464">
        <w:rPr>
          <w:rFonts w:ascii="Times New Roman" w:hAnsi="Times New Roman" w:cs="Times New Roman"/>
          <w:b/>
          <w:sz w:val="24"/>
          <w:szCs w:val="24"/>
        </w:rPr>
        <w:object w:dxaOrig="9243" w:dyaOrig="6910">
          <v:shape id="_x0000_i1034" type="#_x0000_t75" style="width:396.7pt;height:305pt" o:ole="">
            <v:imagedata r:id="rId42" o:title=""/>
          </v:shape>
          <o:OLEObject Type="Embed" ProgID="Excel.Sheet.12" ShapeID="_x0000_i1034" DrawAspect="Content" ObjectID="_1471688945" r:id="rId43"/>
        </w:object>
      </w:r>
    </w:p>
    <w:p w:rsidR="00786677" w:rsidRPr="00786677" w:rsidRDefault="00AA7DBD" w:rsidP="00BB64E7">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Осталих </w:t>
      </w:r>
      <w:r w:rsidR="009F187C">
        <w:rPr>
          <w:rFonts w:ascii="Times New Roman" w:hAnsi="Times New Roman" w:cs="Times New Roman"/>
          <w:sz w:val="24"/>
          <w:szCs w:val="24"/>
          <w:lang w:val="sr-Cyrl-RS"/>
        </w:rPr>
        <w:t xml:space="preserve">20 </w:t>
      </w:r>
      <w:r w:rsidR="009F187C">
        <w:rPr>
          <w:rFonts w:ascii="Times New Roman" w:hAnsi="Times New Roman" w:cs="Times New Roman"/>
          <w:sz w:val="24"/>
          <w:szCs w:val="24"/>
        </w:rPr>
        <w:t>основа за обуставу поступка</w:t>
      </w:r>
      <w:r w:rsidR="009F187C">
        <w:rPr>
          <w:rFonts w:ascii="Times New Roman" w:hAnsi="Times New Roman" w:cs="Times New Roman"/>
          <w:sz w:val="24"/>
          <w:szCs w:val="24"/>
          <w:lang w:val="sr-Cyrl-RS"/>
        </w:rPr>
        <w:t xml:space="preserve"> заједно узевши</w:t>
      </w:r>
      <w:r>
        <w:rPr>
          <w:rFonts w:ascii="Times New Roman" w:hAnsi="Times New Roman" w:cs="Times New Roman"/>
          <w:sz w:val="24"/>
          <w:szCs w:val="24"/>
        </w:rPr>
        <w:t xml:space="preserve"> чине </w:t>
      </w:r>
      <w:r w:rsidR="00505BD3">
        <w:rPr>
          <w:rFonts w:ascii="Times New Roman" w:hAnsi="Times New Roman" w:cs="Times New Roman"/>
          <w:sz w:val="24"/>
          <w:szCs w:val="24"/>
        </w:rPr>
        <w:t>41</w:t>
      </w:r>
      <w:r>
        <w:rPr>
          <w:rFonts w:ascii="Times New Roman" w:hAnsi="Times New Roman" w:cs="Times New Roman"/>
          <w:sz w:val="24"/>
          <w:szCs w:val="24"/>
        </w:rPr>
        <w:t xml:space="preserve">%, </w:t>
      </w:r>
      <w:r w:rsidR="009F187C">
        <w:rPr>
          <w:rFonts w:ascii="Times New Roman" w:hAnsi="Times New Roman" w:cs="Times New Roman"/>
          <w:sz w:val="24"/>
          <w:szCs w:val="24"/>
          <w:lang w:val="sr-Cyrl-RS"/>
        </w:rPr>
        <w:t xml:space="preserve">при чему </w:t>
      </w:r>
      <w:r w:rsidRPr="00786677">
        <w:rPr>
          <w:rFonts w:ascii="Times New Roman" w:hAnsi="Times New Roman" w:cs="Times New Roman"/>
          <w:sz w:val="24"/>
          <w:szCs w:val="24"/>
        </w:rPr>
        <w:t xml:space="preserve"> нај</w:t>
      </w:r>
      <w:r w:rsidR="003E4CA8">
        <w:rPr>
          <w:rFonts w:ascii="Times New Roman" w:hAnsi="Times New Roman" w:cs="Times New Roman"/>
          <w:sz w:val="24"/>
          <w:szCs w:val="24"/>
          <w:lang w:val="sr-Cyrl-RS"/>
        </w:rPr>
        <w:t>заступљенији</w:t>
      </w:r>
      <w:r w:rsidR="005E5CCE" w:rsidRPr="00786677">
        <w:rPr>
          <w:rFonts w:ascii="Times New Roman" w:hAnsi="Times New Roman" w:cs="Times New Roman"/>
          <w:sz w:val="24"/>
          <w:szCs w:val="24"/>
        </w:rPr>
        <w:t xml:space="preserve"> има учешће од 0</w:t>
      </w:r>
      <w:r w:rsidRPr="00786677">
        <w:rPr>
          <w:rFonts w:ascii="Times New Roman" w:hAnsi="Times New Roman" w:cs="Times New Roman"/>
          <w:sz w:val="24"/>
          <w:szCs w:val="24"/>
        </w:rPr>
        <w:t>,</w:t>
      </w:r>
      <w:r w:rsidR="005E5CCE" w:rsidRPr="00786677">
        <w:rPr>
          <w:rFonts w:ascii="Times New Roman" w:hAnsi="Times New Roman" w:cs="Times New Roman"/>
          <w:sz w:val="24"/>
          <w:szCs w:val="24"/>
        </w:rPr>
        <w:t>94</w:t>
      </w:r>
      <w:r w:rsidRPr="00786677">
        <w:rPr>
          <w:rFonts w:ascii="Times New Roman" w:hAnsi="Times New Roman" w:cs="Times New Roman"/>
          <w:sz w:val="24"/>
          <w:szCs w:val="24"/>
        </w:rPr>
        <w:t xml:space="preserve">%, па због ниског релативног значаја нису </w:t>
      </w:r>
      <w:r w:rsidR="00A01819" w:rsidRPr="00786677">
        <w:rPr>
          <w:rFonts w:ascii="Times New Roman" w:hAnsi="Times New Roman" w:cs="Times New Roman"/>
          <w:sz w:val="24"/>
          <w:szCs w:val="24"/>
        </w:rPr>
        <w:t xml:space="preserve">појединачно </w:t>
      </w:r>
      <w:r w:rsidR="009F187C">
        <w:rPr>
          <w:rFonts w:ascii="Times New Roman" w:hAnsi="Times New Roman" w:cs="Times New Roman"/>
          <w:sz w:val="24"/>
          <w:szCs w:val="24"/>
          <w:lang w:val="sr-Cyrl-RS"/>
        </w:rPr>
        <w:t>наведени</w:t>
      </w:r>
      <w:r w:rsidR="00786677" w:rsidRPr="00786677">
        <w:rPr>
          <w:rFonts w:ascii="Times New Roman" w:hAnsi="Times New Roman" w:cs="Times New Roman"/>
          <w:sz w:val="24"/>
          <w:szCs w:val="24"/>
        </w:rPr>
        <w:t xml:space="preserve">. </w:t>
      </w:r>
    </w:p>
    <w:p w:rsidR="00A92087" w:rsidRPr="00D333FA" w:rsidRDefault="00AA7DBD" w:rsidP="00BB64E7">
      <w:pPr>
        <w:jc w:val="both"/>
        <w:rPr>
          <w:rFonts w:ascii="Times New Roman" w:hAnsi="Times New Roman" w:cs="Times New Roman"/>
          <w:color w:val="FF0000"/>
          <w:sz w:val="24"/>
          <w:szCs w:val="24"/>
        </w:rPr>
      </w:pPr>
      <w:r>
        <w:rPr>
          <w:rFonts w:ascii="Times New Roman" w:hAnsi="Times New Roman" w:cs="Times New Roman"/>
          <w:sz w:val="24"/>
          <w:szCs w:val="24"/>
        </w:rPr>
        <w:t xml:space="preserve">Као што подаци у </w:t>
      </w:r>
      <w:r w:rsidRPr="004153ED">
        <w:rPr>
          <w:rFonts w:ascii="Times New Roman" w:hAnsi="Times New Roman" w:cs="Times New Roman"/>
          <w:sz w:val="24"/>
          <w:szCs w:val="24"/>
        </w:rPr>
        <w:t xml:space="preserve">Табели </w:t>
      </w:r>
      <w:r w:rsidR="00810AFF" w:rsidRPr="004153ED">
        <w:rPr>
          <w:rFonts w:ascii="Times New Roman" w:hAnsi="Times New Roman" w:cs="Times New Roman"/>
          <w:sz w:val="24"/>
          <w:szCs w:val="24"/>
        </w:rPr>
        <w:t>9</w:t>
      </w:r>
      <w:r w:rsidR="00072DBF">
        <w:rPr>
          <w:rFonts w:ascii="Times New Roman" w:hAnsi="Times New Roman" w:cs="Times New Roman"/>
          <w:sz w:val="24"/>
          <w:szCs w:val="24"/>
        </w:rPr>
        <w:t>, Слика 1</w:t>
      </w:r>
      <w:r w:rsidR="00505BD3">
        <w:rPr>
          <w:rFonts w:ascii="Times New Roman" w:hAnsi="Times New Roman" w:cs="Times New Roman"/>
          <w:sz w:val="24"/>
          <w:szCs w:val="24"/>
        </w:rPr>
        <w:t>2</w:t>
      </w:r>
      <w:r>
        <w:rPr>
          <w:rFonts w:ascii="Times New Roman" w:hAnsi="Times New Roman" w:cs="Times New Roman"/>
          <w:sz w:val="24"/>
          <w:szCs w:val="24"/>
        </w:rPr>
        <w:t xml:space="preserve"> показују, с</w:t>
      </w:r>
      <w:r w:rsidR="00A92087">
        <w:rPr>
          <w:rFonts w:ascii="Times New Roman" w:hAnsi="Times New Roman" w:cs="Times New Roman"/>
          <w:sz w:val="24"/>
          <w:szCs w:val="24"/>
        </w:rPr>
        <w:t>вега 1% поступака је поништено (делимично или у целини) од стране Републичке комисије за заштиту права.</w:t>
      </w:r>
    </w:p>
    <w:p w:rsidR="00D23077" w:rsidRDefault="00CA1F8B" w:rsidP="00BB64E7">
      <w:pPr>
        <w:jc w:val="both"/>
        <w:rPr>
          <w:rFonts w:ascii="Times New Roman" w:hAnsi="Times New Roman" w:cs="Times New Roman"/>
          <w:sz w:val="24"/>
          <w:szCs w:val="24"/>
        </w:rPr>
      </w:pPr>
      <w:r>
        <w:rPr>
          <w:rFonts w:ascii="Times New Roman" w:hAnsi="Times New Roman" w:cs="Times New Roman"/>
          <w:sz w:val="24"/>
          <w:szCs w:val="24"/>
        </w:rPr>
        <w:t>Може се закључити да је</w:t>
      </w:r>
      <w:r w:rsidR="00A01819">
        <w:rPr>
          <w:rFonts w:ascii="Times New Roman" w:hAnsi="Times New Roman" w:cs="Times New Roman"/>
          <w:sz w:val="24"/>
          <w:szCs w:val="24"/>
        </w:rPr>
        <w:t xml:space="preserve">, у </w:t>
      </w:r>
      <w:r w:rsidR="00505BD3">
        <w:rPr>
          <w:rFonts w:ascii="Times New Roman" w:hAnsi="Times New Roman" w:cs="Times New Roman"/>
          <w:sz w:val="24"/>
          <w:szCs w:val="24"/>
        </w:rPr>
        <w:t xml:space="preserve">првом полугодишту </w:t>
      </w:r>
      <w:r w:rsidR="00072DBF">
        <w:rPr>
          <w:rFonts w:ascii="Times New Roman" w:hAnsi="Times New Roman" w:cs="Times New Roman"/>
          <w:sz w:val="24"/>
          <w:szCs w:val="24"/>
        </w:rPr>
        <w:t>201</w:t>
      </w:r>
      <w:r w:rsidR="00505BD3">
        <w:rPr>
          <w:rFonts w:ascii="Times New Roman" w:hAnsi="Times New Roman" w:cs="Times New Roman"/>
          <w:sz w:val="24"/>
          <w:szCs w:val="24"/>
        </w:rPr>
        <w:t>4. године</w:t>
      </w:r>
      <w:r w:rsidR="00A01819">
        <w:rPr>
          <w:rFonts w:ascii="Times New Roman" w:hAnsi="Times New Roman" w:cs="Times New Roman"/>
          <w:sz w:val="24"/>
          <w:szCs w:val="24"/>
        </w:rPr>
        <w:t xml:space="preserve">, </w:t>
      </w:r>
      <w:r>
        <w:rPr>
          <w:rFonts w:ascii="Times New Roman" w:hAnsi="Times New Roman" w:cs="Times New Roman"/>
          <w:sz w:val="24"/>
          <w:szCs w:val="24"/>
        </w:rPr>
        <w:t>постојао висок степен успешности поступака</w:t>
      </w:r>
      <w:r w:rsidR="003E4CA8">
        <w:rPr>
          <w:rFonts w:ascii="Times New Roman" w:hAnsi="Times New Roman" w:cs="Times New Roman"/>
          <w:sz w:val="24"/>
          <w:szCs w:val="24"/>
        </w:rPr>
        <w:t xml:space="preserve"> </w:t>
      </w:r>
      <w:r w:rsidR="00CC5D30">
        <w:rPr>
          <w:rFonts w:ascii="Times New Roman" w:hAnsi="Times New Roman" w:cs="Times New Roman"/>
          <w:sz w:val="24"/>
          <w:szCs w:val="24"/>
        </w:rPr>
        <w:t xml:space="preserve">јавних набавки </w:t>
      </w:r>
      <w:r w:rsidR="00324462">
        <w:rPr>
          <w:rFonts w:ascii="Times New Roman" w:hAnsi="Times New Roman" w:cs="Times New Roman"/>
          <w:sz w:val="24"/>
          <w:szCs w:val="24"/>
        </w:rPr>
        <w:t xml:space="preserve">што сведочи о </w:t>
      </w:r>
      <w:r w:rsidR="00A92087">
        <w:rPr>
          <w:rFonts w:ascii="Times New Roman" w:hAnsi="Times New Roman" w:cs="Times New Roman"/>
          <w:sz w:val="24"/>
          <w:szCs w:val="24"/>
        </w:rPr>
        <w:t xml:space="preserve">завидној </w:t>
      </w:r>
      <w:r w:rsidR="00324462">
        <w:rPr>
          <w:rFonts w:ascii="Times New Roman" w:hAnsi="Times New Roman" w:cs="Times New Roman"/>
          <w:sz w:val="24"/>
          <w:szCs w:val="24"/>
        </w:rPr>
        <w:t xml:space="preserve">ефикасности система </w:t>
      </w:r>
      <w:r w:rsidR="00CC5D30">
        <w:rPr>
          <w:rFonts w:ascii="Times New Roman" w:hAnsi="Times New Roman" w:cs="Times New Roman"/>
          <w:sz w:val="24"/>
          <w:szCs w:val="24"/>
        </w:rPr>
        <w:t xml:space="preserve">у целини. </w:t>
      </w:r>
      <w:r w:rsidR="00324462">
        <w:rPr>
          <w:rFonts w:ascii="Times New Roman" w:hAnsi="Times New Roman" w:cs="Times New Roman"/>
          <w:sz w:val="24"/>
          <w:szCs w:val="24"/>
        </w:rPr>
        <w:t>Друг</w:t>
      </w:r>
      <w:r w:rsidR="00A92087">
        <w:rPr>
          <w:rFonts w:ascii="Times New Roman" w:hAnsi="Times New Roman" w:cs="Times New Roman"/>
          <w:sz w:val="24"/>
          <w:szCs w:val="24"/>
        </w:rPr>
        <w:t xml:space="preserve">о запажање је низак степен поништавања поступака јавних набавки: </w:t>
      </w:r>
      <w:r>
        <w:rPr>
          <w:rFonts w:ascii="Times New Roman" w:hAnsi="Times New Roman" w:cs="Times New Roman"/>
          <w:sz w:val="24"/>
          <w:szCs w:val="24"/>
        </w:rPr>
        <w:t xml:space="preserve">тек сваки стоти поступак </w:t>
      </w:r>
      <w:r w:rsidR="00A92087">
        <w:rPr>
          <w:rFonts w:ascii="Times New Roman" w:hAnsi="Times New Roman" w:cs="Times New Roman"/>
          <w:sz w:val="24"/>
          <w:szCs w:val="24"/>
        </w:rPr>
        <w:t xml:space="preserve">је </w:t>
      </w:r>
      <w:r>
        <w:rPr>
          <w:rFonts w:ascii="Times New Roman" w:hAnsi="Times New Roman" w:cs="Times New Roman"/>
          <w:sz w:val="24"/>
          <w:szCs w:val="24"/>
        </w:rPr>
        <w:t>пониш</w:t>
      </w:r>
      <w:r w:rsidR="00A92087">
        <w:rPr>
          <w:rFonts w:ascii="Times New Roman" w:hAnsi="Times New Roman" w:cs="Times New Roman"/>
          <w:sz w:val="24"/>
          <w:szCs w:val="24"/>
        </w:rPr>
        <w:t>е</w:t>
      </w:r>
      <w:r>
        <w:rPr>
          <w:rFonts w:ascii="Times New Roman" w:hAnsi="Times New Roman" w:cs="Times New Roman"/>
          <w:sz w:val="24"/>
          <w:szCs w:val="24"/>
        </w:rPr>
        <w:t xml:space="preserve">н пред </w:t>
      </w:r>
      <w:r w:rsidR="00355D60">
        <w:rPr>
          <w:rFonts w:ascii="Times New Roman" w:hAnsi="Times New Roman" w:cs="Times New Roman"/>
          <w:sz w:val="24"/>
          <w:szCs w:val="24"/>
        </w:rPr>
        <w:t>Републичком к</w:t>
      </w:r>
      <w:r>
        <w:rPr>
          <w:rFonts w:ascii="Times New Roman" w:hAnsi="Times New Roman" w:cs="Times New Roman"/>
          <w:sz w:val="24"/>
          <w:szCs w:val="24"/>
        </w:rPr>
        <w:t>омисијом</w:t>
      </w:r>
      <w:r w:rsidR="00A92087">
        <w:rPr>
          <w:rFonts w:ascii="Times New Roman" w:hAnsi="Times New Roman" w:cs="Times New Roman"/>
          <w:sz w:val="24"/>
          <w:szCs w:val="24"/>
        </w:rPr>
        <w:t xml:space="preserve"> за заштиту права у поступцима јавних набавки. </w:t>
      </w:r>
      <w:r w:rsidR="00D954B5">
        <w:rPr>
          <w:rFonts w:ascii="Times New Roman" w:hAnsi="Times New Roman" w:cs="Times New Roman"/>
          <w:sz w:val="24"/>
          <w:szCs w:val="24"/>
        </w:rPr>
        <w:t>Поређења ради, у Републици Словенији је, у 2012. години, било 4% поништених поступака</w:t>
      </w:r>
      <w:r w:rsidR="00D954B5">
        <w:rPr>
          <w:rStyle w:val="FootnoteReference"/>
          <w:rFonts w:ascii="Times New Roman" w:hAnsi="Times New Roman" w:cs="Times New Roman"/>
          <w:sz w:val="24"/>
          <w:szCs w:val="24"/>
        </w:rPr>
        <w:footnoteReference w:id="6"/>
      </w:r>
      <w:r w:rsidR="00A92087">
        <w:rPr>
          <w:rFonts w:ascii="Times New Roman" w:hAnsi="Times New Roman" w:cs="Times New Roman"/>
          <w:sz w:val="24"/>
          <w:szCs w:val="24"/>
        </w:rPr>
        <w:t xml:space="preserve">, </w:t>
      </w:r>
      <w:r w:rsidR="00355D60">
        <w:rPr>
          <w:rFonts w:ascii="Times New Roman" w:hAnsi="Times New Roman" w:cs="Times New Roman"/>
          <w:sz w:val="24"/>
          <w:szCs w:val="24"/>
        </w:rPr>
        <w:t xml:space="preserve">што је </w:t>
      </w:r>
      <w:r w:rsidR="00A92087">
        <w:rPr>
          <w:rFonts w:ascii="Times New Roman" w:hAnsi="Times New Roman" w:cs="Times New Roman"/>
          <w:sz w:val="24"/>
          <w:szCs w:val="24"/>
        </w:rPr>
        <w:t>четири пута више</w:t>
      </w:r>
      <w:r w:rsidR="00355D60">
        <w:rPr>
          <w:rFonts w:ascii="Times New Roman" w:hAnsi="Times New Roman" w:cs="Times New Roman"/>
          <w:sz w:val="24"/>
          <w:szCs w:val="24"/>
        </w:rPr>
        <w:t xml:space="preserve"> него у Србији.</w:t>
      </w:r>
      <w:r w:rsidR="00267139">
        <w:rPr>
          <w:rFonts w:ascii="Times New Roman" w:hAnsi="Times New Roman" w:cs="Times New Roman"/>
          <w:sz w:val="24"/>
          <w:szCs w:val="24"/>
        </w:rPr>
        <w:t xml:space="preserve"> С обзиром да поништавањ</w:t>
      </w:r>
      <w:r w:rsidR="00355D60">
        <w:rPr>
          <w:rFonts w:ascii="Times New Roman" w:hAnsi="Times New Roman" w:cs="Times New Roman"/>
          <w:sz w:val="24"/>
          <w:szCs w:val="24"/>
        </w:rPr>
        <w:t>е</w:t>
      </w:r>
      <w:r w:rsidR="00267139">
        <w:rPr>
          <w:rFonts w:ascii="Times New Roman" w:hAnsi="Times New Roman" w:cs="Times New Roman"/>
          <w:sz w:val="24"/>
          <w:szCs w:val="24"/>
        </w:rPr>
        <w:t xml:space="preserve"> поступка </w:t>
      </w:r>
      <w:r w:rsidR="00355D60">
        <w:rPr>
          <w:rFonts w:ascii="Times New Roman" w:hAnsi="Times New Roman" w:cs="Times New Roman"/>
          <w:sz w:val="24"/>
          <w:szCs w:val="24"/>
        </w:rPr>
        <w:t xml:space="preserve">јавне набавке </w:t>
      </w:r>
      <w:r w:rsidR="00267139">
        <w:rPr>
          <w:rFonts w:ascii="Times New Roman" w:hAnsi="Times New Roman" w:cs="Times New Roman"/>
          <w:sz w:val="24"/>
          <w:szCs w:val="24"/>
        </w:rPr>
        <w:t>повлачи за собом додатно улагање времена и новца</w:t>
      </w:r>
      <w:r w:rsidR="00355D60">
        <w:rPr>
          <w:rFonts w:ascii="Times New Roman" w:hAnsi="Times New Roman" w:cs="Times New Roman"/>
          <w:sz w:val="24"/>
          <w:szCs w:val="24"/>
        </w:rPr>
        <w:t xml:space="preserve"> у нов поступак</w:t>
      </w:r>
      <w:r w:rsidR="00267139">
        <w:rPr>
          <w:rFonts w:ascii="Times New Roman" w:hAnsi="Times New Roman" w:cs="Times New Roman"/>
          <w:sz w:val="24"/>
          <w:szCs w:val="24"/>
        </w:rPr>
        <w:t>, а може да представља и сметњу редовном функционисању наручиоца</w:t>
      </w:r>
      <w:r w:rsidR="00355D60">
        <w:rPr>
          <w:rFonts w:ascii="Times New Roman" w:hAnsi="Times New Roman" w:cs="Times New Roman"/>
          <w:sz w:val="24"/>
          <w:szCs w:val="24"/>
        </w:rPr>
        <w:t xml:space="preserve"> што, по правилу, узрокује додатне трошкове</w:t>
      </w:r>
      <w:r w:rsidR="00267139">
        <w:rPr>
          <w:rFonts w:ascii="Times New Roman" w:hAnsi="Times New Roman" w:cs="Times New Roman"/>
          <w:sz w:val="24"/>
          <w:szCs w:val="24"/>
        </w:rPr>
        <w:t xml:space="preserve">, </w:t>
      </w:r>
      <w:r w:rsidR="00355D60">
        <w:rPr>
          <w:rFonts w:ascii="Times New Roman" w:hAnsi="Times New Roman" w:cs="Times New Roman"/>
          <w:sz w:val="24"/>
          <w:szCs w:val="24"/>
        </w:rPr>
        <w:t>може се закључити да заштита права, са овако ниским учешћем поништених поступака, није угрожавала остваривање начела економичности</w:t>
      </w:r>
      <w:r w:rsidR="00BE58E1">
        <w:rPr>
          <w:rFonts w:ascii="Times New Roman" w:hAnsi="Times New Roman" w:cs="Times New Roman"/>
          <w:sz w:val="24"/>
          <w:szCs w:val="24"/>
        </w:rPr>
        <w:t xml:space="preserve"> јавне набавке</w:t>
      </w:r>
      <w:r w:rsidR="00355D60">
        <w:rPr>
          <w:rFonts w:ascii="Times New Roman" w:hAnsi="Times New Roman" w:cs="Times New Roman"/>
          <w:sz w:val="24"/>
          <w:szCs w:val="24"/>
        </w:rPr>
        <w:t xml:space="preserve">. </w:t>
      </w:r>
    </w:p>
    <w:p w:rsidR="00BB0B9A" w:rsidRPr="00D14DA3" w:rsidRDefault="00BB0B9A" w:rsidP="00D14DA3">
      <w:pPr>
        <w:pStyle w:val="ListParagraph"/>
        <w:numPr>
          <w:ilvl w:val="0"/>
          <w:numId w:val="2"/>
        </w:numPr>
        <w:rPr>
          <w:rFonts w:ascii="Times New Roman" w:hAnsi="Times New Roman" w:cs="Times New Roman"/>
          <w:b/>
          <w:sz w:val="24"/>
          <w:szCs w:val="24"/>
        </w:rPr>
      </w:pPr>
      <w:r w:rsidRPr="00D14DA3">
        <w:rPr>
          <w:rFonts w:ascii="Times New Roman" w:hAnsi="Times New Roman" w:cs="Times New Roman"/>
          <w:b/>
          <w:sz w:val="24"/>
          <w:szCs w:val="24"/>
        </w:rPr>
        <w:t>НАБАВКЕ ИЗУЗЕТЕ ОД</w:t>
      </w:r>
      <w:r w:rsidR="00E33EB7">
        <w:rPr>
          <w:rFonts w:ascii="Times New Roman" w:hAnsi="Times New Roman" w:cs="Times New Roman"/>
          <w:b/>
          <w:sz w:val="24"/>
          <w:szCs w:val="24"/>
        </w:rPr>
        <w:t xml:space="preserve"> </w:t>
      </w:r>
      <w:r w:rsidRPr="00D14DA3">
        <w:rPr>
          <w:rFonts w:ascii="Times New Roman" w:hAnsi="Times New Roman" w:cs="Times New Roman"/>
          <w:b/>
          <w:sz w:val="24"/>
          <w:szCs w:val="24"/>
        </w:rPr>
        <w:t xml:space="preserve"> ПРИМЕНЕ ЗАКОНА</w:t>
      </w:r>
    </w:p>
    <w:p w:rsidR="00FF00FA" w:rsidRPr="003B1779" w:rsidRDefault="00BB0B9A" w:rsidP="003B1779">
      <w:pPr>
        <w:jc w:val="both"/>
        <w:rPr>
          <w:rFonts w:ascii="Times New Roman" w:hAnsi="Times New Roman" w:cs="Times New Roman"/>
          <w:sz w:val="24"/>
          <w:szCs w:val="24"/>
          <w:lang w:val="sr-Cyrl-RS"/>
        </w:rPr>
      </w:pPr>
      <w:r>
        <w:rPr>
          <w:rFonts w:ascii="Times New Roman" w:hAnsi="Times New Roman" w:cs="Times New Roman"/>
          <w:sz w:val="24"/>
          <w:szCs w:val="24"/>
        </w:rPr>
        <w:t xml:space="preserve">Набавке на које се није примењивао Закон </w:t>
      </w:r>
      <w:r w:rsidR="0002432C">
        <w:rPr>
          <w:rFonts w:ascii="Times New Roman" w:hAnsi="Times New Roman" w:cs="Times New Roman"/>
          <w:sz w:val="24"/>
          <w:szCs w:val="24"/>
        </w:rPr>
        <w:t xml:space="preserve">повећале су своје учешће у укупној уговореној вредности са </w:t>
      </w:r>
      <w:r w:rsidR="0060326C">
        <w:rPr>
          <w:rFonts w:ascii="Times New Roman" w:hAnsi="Times New Roman" w:cs="Times New Roman"/>
          <w:sz w:val="24"/>
          <w:szCs w:val="24"/>
        </w:rPr>
        <w:t>18</w:t>
      </w:r>
      <w:r>
        <w:rPr>
          <w:rFonts w:ascii="Times New Roman" w:hAnsi="Times New Roman" w:cs="Times New Roman"/>
          <w:sz w:val="24"/>
          <w:szCs w:val="24"/>
        </w:rPr>
        <w:t>% у</w:t>
      </w:r>
      <w:r w:rsidR="002B53DE">
        <w:rPr>
          <w:rFonts w:ascii="Times New Roman" w:hAnsi="Times New Roman" w:cs="Times New Roman"/>
          <w:sz w:val="24"/>
          <w:szCs w:val="24"/>
          <w:lang w:val="sr-Cyrl-RS"/>
        </w:rPr>
        <w:t xml:space="preserve"> </w:t>
      </w:r>
      <w:r w:rsidR="0060326C">
        <w:rPr>
          <w:rFonts w:ascii="Times New Roman" w:hAnsi="Times New Roman" w:cs="Times New Roman"/>
          <w:sz w:val="24"/>
          <w:szCs w:val="24"/>
        </w:rPr>
        <w:t>2013. години</w:t>
      </w:r>
      <w:r w:rsidR="0002432C">
        <w:rPr>
          <w:rFonts w:ascii="Times New Roman" w:hAnsi="Times New Roman" w:cs="Times New Roman"/>
          <w:sz w:val="24"/>
          <w:szCs w:val="24"/>
        </w:rPr>
        <w:t xml:space="preserve"> на </w:t>
      </w:r>
      <w:r w:rsidR="002B53DE" w:rsidRPr="00124460">
        <w:rPr>
          <w:rFonts w:ascii="Times New Roman" w:hAnsi="Times New Roman" w:cs="Times New Roman"/>
          <w:sz w:val="24"/>
          <w:szCs w:val="24"/>
          <w:lang w:val="sr-Cyrl-RS"/>
        </w:rPr>
        <w:t>2</w:t>
      </w:r>
      <w:r w:rsidR="00696CCB" w:rsidRPr="00124460">
        <w:rPr>
          <w:rFonts w:ascii="Times New Roman" w:hAnsi="Times New Roman" w:cs="Times New Roman"/>
          <w:sz w:val="24"/>
          <w:szCs w:val="24"/>
          <w:lang w:val="sr-Cyrl-RS"/>
        </w:rPr>
        <w:t>4</w:t>
      </w:r>
      <w:r w:rsidR="0002432C">
        <w:rPr>
          <w:rFonts w:ascii="Times New Roman" w:hAnsi="Times New Roman" w:cs="Times New Roman"/>
          <w:sz w:val="24"/>
          <w:szCs w:val="24"/>
        </w:rPr>
        <w:t xml:space="preserve">% у првом полугодишту 2014. године </w:t>
      </w:r>
      <w:r>
        <w:rPr>
          <w:rFonts w:ascii="Times New Roman" w:hAnsi="Times New Roman" w:cs="Times New Roman"/>
          <w:sz w:val="24"/>
          <w:szCs w:val="24"/>
        </w:rPr>
        <w:t>(</w:t>
      </w:r>
      <w:r w:rsidRPr="001A588E">
        <w:rPr>
          <w:rFonts w:ascii="Times New Roman" w:hAnsi="Times New Roman" w:cs="Times New Roman"/>
          <w:sz w:val="24"/>
          <w:szCs w:val="24"/>
        </w:rPr>
        <w:t xml:space="preserve">Табела </w:t>
      </w:r>
      <w:r w:rsidR="0094612A" w:rsidRPr="001A588E">
        <w:rPr>
          <w:rFonts w:ascii="Times New Roman" w:hAnsi="Times New Roman" w:cs="Times New Roman"/>
          <w:sz w:val="24"/>
          <w:szCs w:val="24"/>
        </w:rPr>
        <w:t>1</w:t>
      </w:r>
      <w:r w:rsidR="000019FE" w:rsidRPr="001A588E">
        <w:rPr>
          <w:rFonts w:ascii="Times New Roman" w:hAnsi="Times New Roman" w:cs="Times New Roman"/>
          <w:sz w:val="24"/>
          <w:szCs w:val="24"/>
        </w:rPr>
        <w:t>0</w:t>
      </w:r>
      <w:r w:rsidR="003B1779">
        <w:rPr>
          <w:rFonts w:ascii="Times New Roman" w:hAnsi="Times New Roman" w:cs="Times New Roman"/>
          <w:sz w:val="24"/>
          <w:szCs w:val="24"/>
        </w:rPr>
        <w:t>).</w:t>
      </w:r>
    </w:p>
    <w:p w:rsidR="00BB0B9A" w:rsidRPr="00124460" w:rsidRDefault="00BB0B9A" w:rsidP="00BB0B9A">
      <w:pPr>
        <w:rPr>
          <w:rFonts w:ascii="Times New Roman" w:hAnsi="Times New Roman" w:cs="Times New Roman"/>
          <w:b/>
          <w:sz w:val="24"/>
          <w:szCs w:val="24"/>
        </w:rPr>
      </w:pPr>
      <w:r w:rsidRPr="00124460">
        <w:rPr>
          <w:rFonts w:ascii="Times New Roman" w:hAnsi="Times New Roman" w:cs="Times New Roman"/>
          <w:b/>
          <w:sz w:val="24"/>
          <w:szCs w:val="24"/>
        </w:rPr>
        <w:t xml:space="preserve">Табела </w:t>
      </w:r>
      <w:r w:rsidR="000512E4" w:rsidRPr="00124460">
        <w:rPr>
          <w:rFonts w:ascii="Times New Roman" w:hAnsi="Times New Roman" w:cs="Times New Roman"/>
          <w:b/>
          <w:sz w:val="24"/>
          <w:szCs w:val="24"/>
        </w:rPr>
        <w:t>10</w:t>
      </w:r>
    </w:p>
    <w:tbl>
      <w:tblPr>
        <w:tblStyle w:val="TableGrid"/>
        <w:tblW w:w="0" w:type="auto"/>
        <w:tblInd w:w="108" w:type="dxa"/>
        <w:tblLook w:val="0000" w:firstRow="0" w:lastRow="0" w:firstColumn="0" w:lastColumn="0" w:noHBand="0" w:noVBand="0"/>
      </w:tblPr>
      <w:tblGrid>
        <w:gridCol w:w="2096"/>
        <w:gridCol w:w="2196"/>
        <w:gridCol w:w="2228"/>
        <w:gridCol w:w="2158"/>
        <w:gridCol w:w="2095"/>
      </w:tblGrid>
      <w:tr w:rsidR="002835AE" w:rsidRPr="00124460" w:rsidTr="007A675B">
        <w:trPr>
          <w:trHeight w:val="638"/>
        </w:trPr>
        <w:tc>
          <w:tcPr>
            <w:tcW w:w="10773" w:type="dxa"/>
            <w:gridSpan w:val="5"/>
            <w:vAlign w:val="center"/>
          </w:tcPr>
          <w:p w:rsidR="002835AE" w:rsidRPr="00124460" w:rsidRDefault="002835AE" w:rsidP="00124460">
            <w:pPr>
              <w:jc w:val="center"/>
              <w:rPr>
                <w:b/>
                <w:sz w:val="24"/>
                <w:szCs w:val="24"/>
              </w:rPr>
            </w:pPr>
            <w:r w:rsidRPr="00124460">
              <w:rPr>
                <w:rFonts w:ascii="Times New Roman" w:hAnsi="Times New Roman" w:cs="Times New Roman"/>
                <w:b/>
                <w:sz w:val="24"/>
                <w:szCs w:val="24"/>
              </w:rPr>
              <w:t xml:space="preserve">Преглед свих набавки у Републици Србији у првом </w:t>
            </w:r>
            <w:r w:rsidR="00124460">
              <w:rPr>
                <w:rFonts w:ascii="Times New Roman" w:hAnsi="Times New Roman" w:cs="Times New Roman"/>
                <w:b/>
                <w:sz w:val="24"/>
                <w:szCs w:val="24"/>
                <w:lang w:val="sr-Cyrl-RS"/>
              </w:rPr>
              <w:t>полугодишту</w:t>
            </w:r>
            <w:r w:rsidRPr="00124460">
              <w:rPr>
                <w:rFonts w:ascii="Times New Roman" w:hAnsi="Times New Roman" w:cs="Times New Roman"/>
                <w:b/>
                <w:sz w:val="24"/>
                <w:szCs w:val="24"/>
              </w:rPr>
              <w:t xml:space="preserve"> 2014. године</w:t>
            </w:r>
          </w:p>
        </w:tc>
      </w:tr>
      <w:tr w:rsidR="002835AE" w:rsidRPr="00124460" w:rsidTr="00A8404D">
        <w:tblPrEx>
          <w:tblLook w:val="04A0" w:firstRow="1" w:lastRow="0" w:firstColumn="1" w:lastColumn="0" w:noHBand="0" w:noVBand="1"/>
        </w:tblPrEx>
        <w:tc>
          <w:tcPr>
            <w:tcW w:w="2096" w:type="dxa"/>
            <w:vMerge w:val="restart"/>
            <w:vAlign w:val="center"/>
          </w:tcPr>
          <w:p w:rsidR="002835AE" w:rsidRPr="00124460" w:rsidRDefault="002835AE" w:rsidP="00A8404D">
            <w:pPr>
              <w:jc w:val="center"/>
              <w:rPr>
                <w:rFonts w:ascii="Times New Roman" w:hAnsi="Times New Roman" w:cs="Times New Roman"/>
                <w:b/>
              </w:rPr>
            </w:pPr>
            <w:r w:rsidRPr="00124460">
              <w:rPr>
                <w:rFonts w:ascii="Times New Roman" w:hAnsi="Times New Roman" w:cs="Times New Roman"/>
                <w:b/>
              </w:rPr>
              <w:t>Врста набавки</w:t>
            </w:r>
          </w:p>
        </w:tc>
        <w:tc>
          <w:tcPr>
            <w:tcW w:w="2196" w:type="dxa"/>
            <w:vMerge w:val="restart"/>
            <w:vAlign w:val="center"/>
          </w:tcPr>
          <w:p w:rsidR="002835AE" w:rsidRPr="00124460" w:rsidRDefault="002835AE" w:rsidP="00A8404D">
            <w:pPr>
              <w:jc w:val="center"/>
              <w:rPr>
                <w:rFonts w:ascii="Times New Roman" w:hAnsi="Times New Roman" w:cs="Times New Roman"/>
                <w:b/>
              </w:rPr>
            </w:pPr>
            <w:r w:rsidRPr="00124460">
              <w:rPr>
                <w:rFonts w:ascii="Times New Roman" w:hAnsi="Times New Roman" w:cs="Times New Roman"/>
                <w:b/>
              </w:rPr>
              <w:t>Укупан број уговора</w:t>
            </w:r>
          </w:p>
        </w:tc>
        <w:tc>
          <w:tcPr>
            <w:tcW w:w="2228" w:type="dxa"/>
            <w:vMerge w:val="restart"/>
            <w:vAlign w:val="center"/>
          </w:tcPr>
          <w:p w:rsidR="002835AE" w:rsidRPr="00124460" w:rsidRDefault="002835AE" w:rsidP="00A8404D">
            <w:pPr>
              <w:jc w:val="center"/>
              <w:rPr>
                <w:rFonts w:ascii="Times New Roman" w:hAnsi="Times New Roman" w:cs="Times New Roman"/>
                <w:b/>
              </w:rPr>
            </w:pPr>
            <w:r w:rsidRPr="00124460">
              <w:rPr>
                <w:rFonts w:ascii="Times New Roman" w:hAnsi="Times New Roman" w:cs="Times New Roman"/>
                <w:b/>
              </w:rPr>
              <w:t>Укупна уговорена вредност*</w:t>
            </w:r>
          </w:p>
        </w:tc>
        <w:tc>
          <w:tcPr>
            <w:tcW w:w="4253" w:type="dxa"/>
            <w:gridSpan w:val="2"/>
            <w:vAlign w:val="center"/>
          </w:tcPr>
          <w:p w:rsidR="002835AE" w:rsidRPr="00124460" w:rsidRDefault="002835AE" w:rsidP="00A8404D">
            <w:pPr>
              <w:jc w:val="center"/>
              <w:rPr>
                <w:rFonts w:ascii="Times New Roman" w:hAnsi="Times New Roman" w:cs="Times New Roman"/>
                <w:b/>
              </w:rPr>
            </w:pPr>
            <w:r w:rsidRPr="00124460">
              <w:rPr>
                <w:rFonts w:ascii="Times New Roman" w:hAnsi="Times New Roman" w:cs="Times New Roman"/>
                <w:b/>
              </w:rPr>
              <w:t>Заступљеност у свим набавкама</w:t>
            </w:r>
          </w:p>
        </w:tc>
      </w:tr>
      <w:tr w:rsidR="002835AE" w:rsidRPr="00124460" w:rsidTr="00A8404D">
        <w:tblPrEx>
          <w:tblLook w:val="04A0" w:firstRow="1" w:lastRow="0" w:firstColumn="1" w:lastColumn="0" w:noHBand="0" w:noVBand="1"/>
        </w:tblPrEx>
        <w:tc>
          <w:tcPr>
            <w:tcW w:w="2096" w:type="dxa"/>
            <w:vMerge/>
            <w:vAlign w:val="center"/>
          </w:tcPr>
          <w:p w:rsidR="002835AE" w:rsidRPr="00124460" w:rsidRDefault="002835AE" w:rsidP="00A8404D">
            <w:pPr>
              <w:jc w:val="center"/>
              <w:rPr>
                <w:rFonts w:ascii="Times New Roman" w:hAnsi="Times New Roman" w:cs="Times New Roman"/>
                <w:b/>
              </w:rPr>
            </w:pPr>
          </w:p>
        </w:tc>
        <w:tc>
          <w:tcPr>
            <w:tcW w:w="2196" w:type="dxa"/>
            <w:vMerge/>
            <w:vAlign w:val="center"/>
          </w:tcPr>
          <w:p w:rsidR="002835AE" w:rsidRPr="00124460" w:rsidRDefault="002835AE" w:rsidP="00A8404D">
            <w:pPr>
              <w:jc w:val="center"/>
              <w:rPr>
                <w:rFonts w:ascii="Times New Roman" w:hAnsi="Times New Roman" w:cs="Times New Roman"/>
                <w:b/>
              </w:rPr>
            </w:pPr>
          </w:p>
        </w:tc>
        <w:tc>
          <w:tcPr>
            <w:tcW w:w="2228" w:type="dxa"/>
            <w:vMerge/>
            <w:vAlign w:val="center"/>
          </w:tcPr>
          <w:p w:rsidR="002835AE" w:rsidRPr="00124460" w:rsidRDefault="002835AE" w:rsidP="00A8404D">
            <w:pPr>
              <w:jc w:val="center"/>
              <w:rPr>
                <w:rFonts w:ascii="Times New Roman" w:hAnsi="Times New Roman" w:cs="Times New Roman"/>
                <w:b/>
              </w:rPr>
            </w:pPr>
          </w:p>
        </w:tc>
        <w:tc>
          <w:tcPr>
            <w:tcW w:w="2158" w:type="dxa"/>
            <w:vAlign w:val="center"/>
          </w:tcPr>
          <w:p w:rsidR="002835AE" w:rsidRPr="00124460" w:rsidRDefault="002835AE" w:rsidP="00A8404D">
            <w:pPr>
              <w:jc w:val="center"/>
              <w:rPr>
                <w:rFonts w:ascii="Times New Roman" w:hAnsi="Times New Roman" w:cs="Times New Roman"/>
                <w:b/>
              </w:rPr>
            </w:pPr>
            <w:r w:rsidRPr="00124460">
              <w:rPr>
                <w:rFonts w:ascii="Times New Roman" w:hAnsi="Times New Roman" w:cs="Times New Roman"/>
                <w:b/>
              </w:rPr>
              <w:t>По броју у %</w:t>
            </w:r>
          </w:p>
        </w:tc>
        <w:tc>
          <w:tcPr>
            <w:tcW w:w="2095" w:type="dxa"/>
            <w:vAlign w:val="center"/>
          </w:tcPr>
          <w:p w:rsidR="002835AE" w:rsidRPr="00124460" w:rsidRDefault="002835AE" w:rsidP="00A8404D">
            <w:pPr>
              <w:jc w:val="center"/>
              <w:rPr>
                <w:rFonts w:ascii="Times New Roman" w:hAnsi="Times New Roman" w:cs="Times New Roman"/>
                <w:b/>
              </w:rPr>
            </w:pPr>
            <w:r w:rsidRPr="00124460">
              <w:rPr>
                <w:rFonts w:ascii="Times New Roman" w:hAnsi="Times New Roman" w:cs="Times New Roman"/>
                <w:b/>
              </w:rPr>
              <w:t>По вредности у %</w:t>
            </w:r>
          </w:p>
        </w:tc>
      </w:tr>
      <w:tr w:rsidR="002835AE" w:rsidRPr="00124460" w:rsidTr="00A8404D">
        <w:tblPrEx>
          <w:tblLook w:val="04A0" w:firstRow="1" w:lastRow="0" w:firstColumn="1" w:lastColumn="0" w:noHBand="0" w:noVBand="1"/>
        </w:tblPrEx>
        <w:tc>
          <w:tcPr>
            <w:tcW w:w="2096" w:type="dxa"/>
            <w:vAlign w:val="center"/>
          </w:tcPr>
          <w:p w:rsidR="002835AE" w:rsidRPr="00124460" w:rsidRDefault="002835AE" w:rsidP="00A8404D">
            <w:pPr>
              <w:jc w:val="center"/>
              <w:rPr>
                <w:rFonts w:ascii="Times New Roman" w:hAnsi="Times New Roman" w:cs="Times New Roman"/>
                <w:b/>
              </w:rPr>
            </w:pPr>
            <w:r w:rsidRPr="00124460">
              <w:rPr>
                <w:rFonts w:ascii="Times New Roman" w:hAnsi="Times New Roman" w:cs="Times New Roman"/>
                <w:b/>
              </w:rPr>
              <w:t>Велике набавке</w:t>
            </w:r>
          </w:p>
        </w:tc>
        <w:tc>
          <w:tcPr>
            <w:tcW w:w="2196" w:type="dxa"/>
            <w:vAlign w:val="center"/>
          </w:tcPr>
          <w:p w:rsidR="002835AE" w:rsidRPr="00124460" w:rsidRDefault="002835AE" w:rsidP="00A8404D">
            <w:pPr>
              <w:jc w:val="center"/>
              <w:rPr>
                <w:rFonts w:ascii="Times New Roman" w:hAnsi="Times New Roman" w:cs="Times New Roman"/>
              </w:rPr>
            </w:pPr>
            <w:r w:rsidRPr="00124460">
              <w:rPr>
                <w:rFonts w:ascii="Times New Roman" w:hAnsi="Times New Roman" w:cs="Times New Roman"/>
              </w:rPr>
              <w:t>23.192</w:t>
            </w:r>
          </w:p>
        </w:tc>
        <w:tc>
          <w:tcPr>
            <w:tcW w:w="2228" w:type="dxa"/>
            <w:vAlign w:val="center"/>
          </w:tcPr>
          <w:p w:rsidR="002835AE" w:rsidRPr="00124460" w:rsidRDefault="002835AE" w:rsidP="00A8404D">
            <w:pPr>
              <w:jc w:val="center"/>
              <w:rPr>
                <w:rFonts w:ascii="Times New Roman" w:hAnsi="Times New Roman" w:cs="Times New Roman"/>
              </w:rPr>
            </w:pPr>
            <w:r w:rsidRPr="00124460">
              <w:rPr>
                <w:rFonts w:ascii="Times New Roman" w:hAnsi="Times New Roman" w:cs="Times New Roman"/>
              </w:rPr>
              <w:t>136.009.308</w:t>
            </w:r>
          </w:p>
        </w:tc>
        <w:tc>
          <w:tcPr>
            <w:tcW w:w="2158" w:type="dxa"/>
            <w:vAlign w:val="center"/>
          </w:tcPr>
          <w:p w:rsidR="002835AE" w:rsidRPr="00124460" w:rsidRDefault="002835AE" w:rsidP="00A8404D">
            <w:pPr>
              <w:jc w:val="center"/>
              <w:rPr>
                <w:rFonts w:ascii="Times New Roman" w:hAnsi="Times New Roman" w:cs="Times New Roman"/>
              </w:rPr>
            </w:pPr>
            <w:r w:rsidRPr="00124460">
              <w:rPr>
                <w:rFonts w:ascii="Times New Roman" w:hAnsi="Times New Roman" w:cs="Times New Roman"/>
              </w:rPr>
              <w:t>13</w:t>
            </w:r>
          </w:p>
        </w:tc>
        <w:tc>
          <w:tcPr>
            <w:tcW w:w="2095" w:type="dxa"/>
            <w:vAlign w:val="center"/>
          </w:tcPr>
          <w:p w:rsidR="002835AE" w:rsidRPr="00124460" w:rsidRDefault="00F75E25" w:rsidP="00FF00FA">
            <w:pPr>
              <w:jc w:val="center"/>
              <w:rPr>
                <w:rFonts w:ascii="Times New Roman" w:hAnsi="Times New Roman" w:cs="Times New Roman"/>
                <w:lang w:val="sr-Cyrl-RS"/>
              </w:rPr>
            </w:pPr>
            <w:r w:rsidRPr="00124460">
              <w:rPr>
                <w:rFonts w:ascii="Times New Roman" w:hAnsi="Times New Roman" w:cs="Times New Roman"/>
                <w:lang w:val="sr-Cyrl-RS"/>
              </w:rPr>
              <w:t>70</w:t>
            </w:r>
          </w:p>
        </w:tc>
      </w:tr>
      <w:tr w:rsidR="002835AE" w:rsidRPr="00124460" w:rsidTr="00A8404D">
        <w:tblPrEx>
          <w:tblLook w:val="04A0" w:firstRow="1" w:lastRow="0" w:firstColumn="1" w:lastColumn="0" w:noHBand="0" w:noVBand="1"/>
        </w:tblPrEx>
        <w:tc>
          <w:tcPr>
            <w:tcW w:w="2096" w:type="dxa"/>
            <w:vAlign w:val="center"/>
          </w:tcPr>
          <w:p w:rsidR="002835AE" w:rsidRPr="00124460" w:rsidRDefault="002835AE" w:rsidP="00A8404D">
            <w:pPr>
              <w:jc w:val="center"/>
              <w:rPr>
                <w:rFonts w:ascii="Times New Roman" w:hAnsi="Times New Roman" w:cs="Times New Roman"/>
                <w:b/>
              </w:rPr>
            </w:pPr>
            <w:r w:rsidRPr="00124460">
              <w:rPr>
                <w:rFonts w:ascii="Times New Roman" w:hAnsi="Times New Roman" w:cs="Times New Roman"/>
                <w:b/>
              </w:rPr>
              <w:t>Мале набавке</w:t>
            </w:r>
          </w:p>
        </w:tc>
        <w:tc>
          <w:tcPr>
            <w:tcW w:w="2196" w:type="dxa"/>
            <w:vAlign w:val="center"/>
          </w:tcPr>
          <w:p w:rsidR="002835AE" w:rsidRPr="00124460" w:rsidRDefault="002835AE" w:rsidP="00A8404D">
            <w:pPr>
              <w:jc w:val="center"/>
              <w:rPr>
                <w:rFonts w:ascii="Times New Roman" w:hAnsi="Times New Roman" w:cs="Times New Roman"/>
              </w:rPr>
            </w:pPr>
            <w:r w:rsidRPr="00124460">
              <w:rPr>
                <w:rFonts w:ascii="Times New Roman" w:hAnsi="Times New Roman" w:cs="Times New Roman"/>
              </w:rPr>
              <w:t>19.247</w:t>
            </w:r>
          </w:p>
        </w:tc>
        <w:tc>
          <w:tcPr>
            <w:tcW w:w="2228" w:type="dxa"/>
            <w:vAlign w:val="center"/>
          </w:tcPr>
          <w:p w:rsidR="002835AE" w:rsidRPr="00124460" w:rsidRDefault="00FF00FA" w:rsidP="00A8404D">
            <w:pPr>
              <w:jc w:val="center"/>
              <w:rPr>
                <w:rFonts w:ascii="Times New Roman" w:hAnsi="Times New Roman" w:cs="Times New Roman"/>
                <w:lang w:val="sr-Cyrl-RS"/>
              </w:rPr>
            </w:pPr>
            <w:r w:rsidRPr="00124460">
              <w:rPr>
                <w:rFonts w:ascii="Times New Roman" w:hAnsi="Times New Roman" w:cs="Times New Roman"/>
                <w:lang w:val="sr-Cyrl-RS"/>
              </w:rPr>
              <w:t>11.581.751</w:t>
            </w:r>
          </w:p>
        </w:tc>
        <w:tc>
          <w:tcPr>
            <w:tcW w:w="2158" w:type="dxa"/>
            <w:vAlign w:val="center"/>
          </w:tcPr>
          <w:p w:rsidR="002835AE" w:rsidRPr="00124460" w:rsidRDefault="002835AE" w:rsidP="00A8404D">
            <w:pPr>
              <w:jc w:val="center"/>
              <w:rPr>
                <w:rFonts w:ascii="Times New Roman" w:hAnsi="Times New Roman" w:cs="Times New Roman"/>
              </w:rPr>
            </w:pPr>
            <w:r w:rsidRPr="00124460">
              <w:rPr>
                <w:rFonts w:ascii="Times New Roman" w:hAnsi="Times New Roman" w:cs="Times New Roman"/>
              </w:rPr>
              <w:t>11</w:t>
            </w:r>
          </w:p>
        </w:tc>
        <w:tc>
          <w:tcPr>
            <w:tcW w:w="2095" w:type="dxa"/>
            <w:vAlign w:val="center"/>
          </w:tcPr>
          <w:p w:rsidR="002835AE" w:rsidRPr="00124460" w:rsidRDefault="00FF00FA" w:rsidP="00A8404D">
            <w:pPr>
              <w:jc w:val="center"/>
              <w:rPr>
                <w:rFonts w:ascii="Times New Roman" w:hAnsi="Times New Roman" w:cs="Times New Roman"/>
                <w:lang w:val="sr-Cyrl-RS"/>
              </w:rPr>
            </w:pPr>
            <w:r w:rsidRPr="00124460">
              <w:rPr>
                <w:rFonts w:ascii="Times New Roman" w:hAnsi="Times New Roman" w:cs="Times New Roman"/>
                <w:lang w:val="sr-Cyrl-RS"/>
              </w:rPr>
              <w:t>6</w:t>
            </w:r>
          </w:p>
        </w:tc>
      </w:tr>
      <w:tr w:rsidR="002835AE" w:rsidRPr="00124460" w:rsidTr="00A8404D">
        <w:tblPrEx>
          <w:tblLook w:val="04A0" w:firstRow="1" w:lastRow="0" w:firstColumn="1" w:lastColumn="0" w:noHBand="0" w:noVBand="1"/>
        </w:tblPrEx>
        <w:tc>
          <w:tcPr>
            <w:tcW w:w="2096" w:type="dxa"/>
            <w:vAlign w:val="center"/>
          </w:tcPr>
          <w:p w:rsidR="002835AE" w:rsidRPr="00124460" w:rsidRDefault="002835AE" w:rsidP="00A8404D">
            <w:pPr>
              <w:jc w:val="center"/>
              <w:rPr>
                <w:rFonts w:ascii="Times New Roman" w:hAnsi="Times New Roman" w:cs="Times New Roman"/>
                <w:b/>
              </w:rPr>
            </w:pPr>
            <w:r w:rsidRPr="00124460">
              <w:rPr>
                <w:rFonts w:ascii="Times New Roman" w:hAnsi="Times New Roman" w:cs="Times New Roman"/>
                <w:b/>
              </w:rPr>
              <w:t>Изузете набавке</w:t>
            </w:r>
          </w:p>
        </w:tc>
        <w:tc>
          <w:tcPr>
            <w:tcW w:w="2196" w:type="dxa"/>
            <w:vAlign w:val="center"/>
          </w:tcPr>
          <w:p w:rsidR="002835AE" w:rsidRPr="00124460" w:rsidRDefault="002835AE" w:rsidP="00F75E25">
            <w:pPr>
              <w:jc w:val="center"/>
              <w:rPr>
                <w:rFonts w:ascii="Times New Roman" w:hAnsi="Times New Roman" w:cs="Times New Roman"/>
                <w:lang w:val="sr-Cyrl-RS"/>
              </w:rPr>
            </w:pPr>
            <w:r w:rsidRPr="00124460">
              <w:rPr>
                <w:rFonts w:ascii="Times New Roman" w:hAnsi="Times New Roman" w:cs="Times New Roman"/>
              </w:rPr>
              <w:t>133.</w:t>
            </w:r>
            <w:r w:rsidR="00F75E25" w:rsidRPr="00124460">
              <w:rPr>
                <w:rFonts w:ascii="Times New Roman" w:hAnsi="Times New Roman" w:cs="Times New Roman"/>
                <w:lang w:val="sr-Cyrl-RS"/>
              </w:rPr>
              <w:t>164</w:t>
            </w:r>
          </w:p>
        </w:tc>
        <w:tc>
          <w:tcPr>
            <w:tcW w:w="2228" w:type="dxa"/>
            <w:vAlign w:val="center"/>
          </w:tcPr>
          <w:p w:rsidR="002835AE" w:rsidRPr="00124460" w:rsidRDefault="00F75E25" w:rsidP="00A8404D">
            <w:pPr>
              <w:jc w:val="center"/>
              <w:rPr>
                <w:rFonts w:ascii="Times New Roman" w:hAnsi="Times New Roman" w:cs="Times New Roman"/>
                <w:lang w:val="sr-Cyrl-RS"/>
              </w:rPr>
            </w:pPr>
            <w:r w:rsidRPr="00124460">
              <w:rPr>
                <w:rFonts w:ascii="Times New Roman" w:hAnsi="Times New Roman" w:cs="Times New Roman"/>
                <w:lang w:val="sr-Cyrl-RS"/>
              </w:rPr>
              <w:t>46.210.236</w:t>
            </w:r>
          </w:p>
        </w:tc>
        <w:tc>
          <w:tcPr>
            <w:tcW w:w="2158" w:type="dxa"/>
            <w:vAlign w:val="center"/>
          </w:tcPr>
          <w:p w:rsidR="002835AE" w:rsidRPr="00124460" w:rsidRDefault="002835AE" w:rsidP="00A8404D">
            <w:pPr>
              <w:jc w:val="center"/>
              <w:rPr>
                <w:rFonts w:ascii="Times New Roman" w:hAnsi="Times New Roman" w:cs="Times New Roman"/>
              </w:rPr>
            </w:pPr>
            <w:r w:rsidRPr="00124460">
              <w:rPr>
                <w:rFonts w:ascii="Times New Roman" w:hAnsi="Times New Roman" w:cs="Times New Roman"/>
              </w:rPr>
              <w:t>76</w:t>
            </w:r>
          </w:p>
        </w:tc>
        <w:tc>
          <w:tcPr>
            <w:tcW w:w="2095" w:type="dxa"/>
            <w:vAlign w:val="center"/>
          </w:tcPr>
          <w:p w:rsidR="002835AE" w:rsidRPr="00124460" w:rsidRDefault="00F75E25" w:rsidP="00A8404D">
            <w:pPr>
              <w:jc w:val="center"/>
              <w:rPr>
                <w:rFonts w:ascii="Times New Roman" w:hAnsi="Times New Roman" w:cs="Times New Roman"/>
                <w:lang w:val="sr-Cyrl-RS"/>
              </w:rPr>
            </w:pPr>
            <w:r w:rsidRPr="00124460">
              <w:rPr>
                <w:rFonts w:ascii="Times New Roman" w:hAnsi="Times New Roman" w:cs="Times New Roman"/>
                <w:lang w:val="sr-Cyrl-RS"/>
              </w:rPr>
              <w:t>24</w:t>
            </w:r>
          </w:p>
        </w:tc>
      </w:tr>
      <w:tr w:rsidR="002835AE" w:rsidRPr="00124460" w:rsidTr="00A8404D">
        <w:tblPrEx>
          <w:tblLook w:val="04A0" w:firstRow="1" w:lastRow="0" w:firstColumn="1" w:lastColumn="0" w:noHBand="0" w:noVBand="1"/>
        </w:tblPrEx>
        <w:tc>
          <w:tcPr>
            <w:tcW w:w="2096" w:type="dxa"/>
            <w:vAlign w:val="center"/>
          </w:tcPr>
          <w:p w:rsidR="002835AE" w:rsidRPr="00124460" w:rsidRDefault="002835AE" w:rsidP="00A8404D">
            <w:pPr>
              <w:jc w:val="center"/>
              <w:rPr>
                <w:rFonts w:ascii="Times New Roman" w:hAnsi="Times New Roman" w:cs="Times New Roman"/>
                <w:b/>
              </w:rPr>
            </w:pPr>
            <w:r w:rsidRPr="00124460">
              <w:rPr>
                <w:rFonts w:ascii="Times New Roman" w:hAnsi="Times New Roman" w:cs="Times New Roman"/>
                <w:b/>
              </w:rPr>
              <w:t>Укупно</w:t>
            </w:r>
          </w:p>
        </w:tc>
        <w:tc>
          <w:tcPr>
            <w:tcW w:w="2196" w:type="dxa"/>
            <w:vAlign w:val="center"/>
          </w:tcPr>
          <w:p w:rsidR="002835AE" w:rsidRPr="00124460" w:rsidRDefault="002835AE" w:rsidP="00F75E25">
            <w:pPr>
              <w:jc w:val="center"/>
              <w:rPr>
                <w:rFonts w:ascii="Times New Roman" w:hAnsi="Times New Roman" w:cs="Times New Roman"/>
                <w:lang w:val="sr-Cyrl-RS"/>
              </w:rPr>
            </w:pPr>
            <w:r w:rsidRPr="00124460">
              <w:rPr>
                <w:rFonts w:ascii="Times New Roman" w:hAnsi="Times New Roman" w:cs="Times New Roman"/>
              </w:rPr>
              <w:t>175.</w:t>
            </w:r>
            <w:r w:rsidR="00F75E25" w:rsidRPr="00124460">
              <w:rPr>
                <w:rFonts w:ascii="Times New Roman" w:hAnsi="Times New Roman" w:cs="Times New Roman"/>
                <w:lang w:val="sr-Cyrl-RS"/>
              </w:rPr>
              <w:t>603</w:t>
            </w:r>
          </w:p>
        </w:tc>
        <w:tc>
          <w:tcPr>
            <w:tcW w:w="2228" w:type="dxa"/>
            <w:vAlign w:val="center"/>
          </w:tcPr>
          <w:p w:rsidR="002835AE" w:rsidRPr="00124460" w:rsidRDefault="00F75E25" w:rsidP="00FF00FA">
            <w:pPr>
              <w:jc w:val="center"/>
              <w:rPr>
                <w:rFonts w:ascii="Times New Roman" w:hAnsi="Times New Roman" w:cs="Times New Roman"/>
                <w:lang w:val="sr-Cyrl-RS"/>
              </w:rPr>
            </w:pPr>
            <w:r w:rsidRPr="00124460">
              <w:rPr>
                <w:rFonts w:ascii="Times New Roman" w:hAnsi="Times New Roman" w:cs="Times New Roman"/>
                <w:lang w:val="sr-Cyrl-RS"/>
              </w:rPr>
              <w:t>193.801.295</w:t>
            </w:r>
          </w:p>
        </w:tc>
        <w:tc>
          <w:tcPr>
            <w:tcW w:w="2158" w:type="dxa"/>
            <w:vAlign w:val="center"/>
          </w:tcPr>
          <w:p w:rsidR="002835AE" w:rsidRPr="00124460" w:rsidRDefault="002835AE" w:rsidP="00A8404D">
            <w:pPr>
              <w:jc w:val="center"/>
              <w:rPr>
                <w:rFonts w:ascii="Times New Roman" w:hAnsi="Times New Roman" w:cs="Times New Roman"/>
              </w:rPr>
            </w:pPr>
            <w:r w:rsidRPr="00124460">
              <w:rPr>
                <w:rFonts w:ascii="Times New Roman" w:hAnsi="Times New Roman" w:cs="Times New Roman"/>
              </w:rPr>
              <w:t>100</w:t>
            </w:r>
          </w:p>
        </w:tc>
        <w:tc>
          <w:tcPr>
            <w:tcW w:w="2095" w:type="dxa"/>
            <w:vAlign w:val="center"/>
          </w:tcPr>
          <w:p w:rsidR="002835AE" w:rsidRPr="00124460" w:rsidRDefault="002835AE" w:rsidP="00A8404D">
            <w:pPr>
              <w:jc w:val="center"/>
              <w:rPr>
                <w:rFonts w:ascii="Times New Roman" w:hAnsi="Times New Roman" w:cs="Times New Roman"/>
              </w:rPr>
            </w:pPr>
            <w:r w:rsidRPr="00124460">
              <w:rPr>
                <w:rFonts w:ascii="Times New Roman" w:hAnsi="Times New Roman" w:cs="Times New Roman"/>
              </w:rPr>
              <w:t>100</w:t>
            </w:r>
          </w:p>
        </w:tc>
      </w:tr>
    </w:tbl>
    <w:p w:rsidR="00BB0B9A" w:rsidRPr="00124460" w:rsidRDefault="008F6182" w:rsidP="00BB0B9A">
      <w:pPr>
        <w:rPr>
          <w:rFonts w:ascii="Times New Roman" w:hAnsi="Times New Roman" w:cs="Times New Roman"/>
        </w:rPr>
      </w:pPr>
      <w:r w:rsidRPr="00124460">
        <w:rPr>
          <w:rFonts w:ascii="Times New Roman" w:hAnsi="Times New Roman" w:cs="Times New Roman"/>
        </w:rPr>
        <w:t>*вредности су изражене у хиљадама динара</w:t>
      </w:r>
    </w:p>
    <w:p w:rsidR="00E010FC" w:rsidRDefault="00696CCB" w:rsidP="00E010FC">
      <w:pPr>
        <w:jc w:val="both"/>
        <w:rPr>
          <w:rFonts w:ascii="Times New Roman" w:hAnsi="Times New Roman" w:cs="Times New Roman"/>
          <w:sz w:val="24"/>
          <w:szCs w:val="24"/>
          <w:lang w:val="sr-Cyrl-RS"/>
        </w:rPr>
      </w:pPr>
      <w:r>
        <w:rPr>
          <w:rFonts w:ascii="Times New Roman" w:hAnsi="Times New Roman" w:cs="Times New Roman"/>
          <w:sz w:val="24"/>
          <w:szCs w:val="24"/>
          <w:lang w:val="sr-Cyrl-RS"/>
        </w:rPr>
        <w:t>Заступљеност појединих основа за изузећ</w:t>
      </w:r>
      <w:r w:rsidR="006A1736">
        <w:rPr>
          <w:rFonts w:ascii="Times New Roman" w:hAnsi="Times New Roman" w:cs="Times New Roman"/>
          <w:sz w:val="24"/>
          <w:szCs w:val="24"/>
          <w:lang w:val="sr-Cyrl-RS"/>
        </w:rPr>
        <w:t>е</w:t>
      </w:r>
      <w:r>
        <w:rPr>
          <w:rFonts w:ascii="Times New Roman" w:hAnsi="Times New Roman" w:cs="Times New Roman"/>
          <w:sz w:val="24"/>
          <w:szCs w:val="24"/>
          <w:lang w:val="sr-Cyrl-RS"/>
        </w:rPr>
        <w:t xml:space="preserve"> од примене Закона, приказан</w:t>
      </w:r>
      <w:r w:rsidR="006A1736">
        <w:rPr>
          <w:rFonts w:ascii="Times New Roman" w:hAnsi="Times New Roman" w:cs="Times New Roman"/>
          <w:sz w:val="24"/>
          <w:szCs w:val="24"/>
          <w:lang w:val="sr-Cyrl-RS"/>
        </w:rPr>
        <w:t>а</w:t>
      </w:r>
      <w:r>
        <w:rPr>
          <w:rFonts w:ascii="Times New Roman" w:hAnsi="Times New Roman" w:cs="Times New Roman"/>
          <w:sz w:val="24"/>
          <w:szCs w:val="24"/>
          <w:lang w:val="sr-Cyrl-RS"/>
        </w:rPr>
        <w:t xml:space="preserve"> је у Табели 11. </w:t>
      </w:r>
      <w:r w:rsidR="006A1736">
        <w:rPr>
          <w:rFonts w:ascii="Times New Roman" w:hAnsi="Times New Roman" w:cs="Times New Roman"/>
          <w:sz w:val="24"/>
          <w:szCs w:val="24"/>
          <w:lang w:val="sr-Cyrl-RS"/>
        </w:rPr>
        <w:t xml:space="preserve">Може се закључити да скоро половина од укупне вредности изузетака (49%), чине уговори који су закључени по следећа два основа предвиђена чланом 7. Закона: 1) </w:t>
      </w:r>
      <w:r w:rsidR="00E0039A">
        <w:rPr>
          <w:rFonts w:ascii="Times New Roman" w:hAnsi="Times New Roman" w:cs="Times New Roman"/>
          <w:sz w:val="24"/>
          <w:szCs w:val="24"/>
          <w:lang w:val="sr-Cyrl-RS"/>
        </w:rPr>
        <w:t>Набавке од лица или организација које се у смислу Закона сматрају наручиоцем и које су носиоци и</w:t>
      </w:r>
      <w:r w:rsidR="006A1736" w:rsidRPr="00E3384D">
        <w:rPr>
          <w:rFonts w:ascii="Times New Roman" w:hAnsi="Times New Roman" w:cs="Times New Roman"/>
          <w:sz w:val="24"/>
          <w:szCs w:val="24"/>
          <w:lang w:val="sr-Cyrl-RS"/>
        </w:rPr>
        <w:t>скључиво</w:t>
      </w:r>
      <w:r w:rsidR="00E0039A">
        <w:rPr>
          <w:rFonts w:ascii="Times New Roman" w:hAnsi="Times New Roman" w:cs="Times New Roman"/>
          <w:sz w:val="24"/>
          <w:szCs w:val="24"/>
          <w:lang w:val="sr-Cyrl-RS"/>
        </w:rPr>
        <w:t>г права</w:t>
      </w:r>
      <w:r w:rsidR="006A1736" w:rsidRPr="00E3384D">
        <w:rPr>
          <w:rFonts w:ascii="Times New Roman" w:hAnsi="Times New Roman" w:cs="Times New Roman"/>
          <w:sz w:val="24"/>
          <w:szCs w:val="24"/>
          <w:lang w:val="sr-Cyrl-RS"/>
        </w:rPr>
        <w:t xml:space="preserve"> на обављање делатности која је предмет јавне набавке</w:t>
      </w:r>
      <w:r w:rsidR="006A1736">
        <w:rPr>
          <w:rFonts w:ascii="Times New Roman" w:hAnsi="Times New Roman" w:cs="Times New Roman"/>
          <w:sz w:val="24"/>
          <w:szCs w:val="24"/>
          <w:lang w:val="sr-Cyrl-RS"/>
        </w:rPr>
        <w:t xml:space="preserve"> и 2)</w:t>
      </w:r>
      <w:r w:rsidR="006A1736" w:rsidRPr="006A1736">
        <w:rPr>
          <w:rFonts w:ascii="Times New Roman" w:hAnsi="Times New Roman" w:cs="Times New Roman"/>
          <w:sz w:val="24"/>
          <w:szCs w:val="24"/>
          <w:lang w:val="sr-Cyrl-RS"/>
        </w:rPr>
        <w:t xml:space="preserve"> </w:t>
      </w:r>
      <w:r w:rsidR="006A1736" w:rsidRPr="00E3384D">
        <w:rPr>
          <w:rFonts w:ascii="Times New Roman" w:hAnsi="Times New Roman" w:cs="Times New Roman"/>
          <w:sz w:val="24"/>
          <w:szCs w:val="24"/>
          <w:lang w:val="sr-Cyrl-RS"/>
        </w:rPr>
        <w:t xml:space="preserve">Набавке чија је </w:t>
      </w:r>
      <w:r w:rsidR="00E0039A">
        <w:rPr>
          <w:rFonts w:ascii="Times New Roman" w:hAnsi="Times New Roman" w:cs="Times New Roman"/>
          <w:sz w:val="24"/>
          <w:szCs w:val="24"/>
          <w:lang w:val="sr-Cyrl-RS"/>
        </w:rPr>
        <w:t xml:space="preserve">искључива и непосредна </w:t>
      </w:r>
      <w:r w:rsidR="006A1736" w:rsidRPr="00E3384D">
        <w:rPr>
          <w:rFonts w:ascii="Times New Roman" w:hAnsi="Times New Roman" w:cs="Times New Roman"/>
          <w:sz w:val="24"/>
          <w:szCs w:val="24"/>
          <w:lang w:val="sr-Cyrl-RS"/>
        </w:rPr>
        <w:t>намена обављање делатности електронских комуникација и продаја електронских комуникационих услуга</w:t>
      </w:r>
      <w:r w:rsidR="00E0039A">
        <w:rPr>
          <w:rFonts w:ascii="Times New Roman" w:hAnsi="Times New Roman" w:cs="Times New Roman"/>
          <w:sz w:val="24"/>
          <w:szCs w:val="24"/>
          <w:lang w:val="sr-Cyrl-RS"/>
        </w:rPr>
        <w:t xml:space="preserve"> у смислу закона којим се уређују електронске комуникације, под условом да други привредни субјекти пружају те услуге на релевантном тржишту.</w:t>
      </w:r>
    </w:p>
    <w:p w:rsidR="003B1779" w:rsidRDefault="00E010FC" w:rsidP="00E010FC">
      <w:pPr>
        <w:jc w:val="both"/>
        <w:rPr>
          <w:rFonts w:ascii="Times New Roman" w:hAnsi="Times New Roman" w:cs="Times New Roman"/>
          <w:b/>
          <w:color w:val="00B050"/>
          <w:sz w:val="24"/>
          <w:szCs w:val="24"/>
          <w:lang w:val="sr-Cyrl-RS"/>
        </w:rPr>
      </w:pPr>
      <w:r>
        <w:rPr>
          <w:rFonts w:ascii="Times New Roman" w:hAnsi="Times New Roman" w:cs="Times New Roman"/>
          <w:b/>
          <w:color w:val="00B050"/>
          <w:sz w:val="24"/>
          <w:szCs w:val="24"/>
          <w:lang w:val="sr-Cyrl-RS"/>
        </w:rPr>
        <w:t xml:space="preserve">        </w:t>
      </w:r>
    </w:p>
    <w:p w:rsidR="00E3384D" w:rsidRPr="00C62E5B" w:rsidRDefault="00C90FAD" w:rsidP="00E010FC">
      <w:pPr>
        <w:jc w:val="both"/>
        <w:rPr>
          <w:rFonts w:ascii="Times New Roman" w:hAnsi="Times New Roman" w:cs="Times New Roman"/>
          <w:sz w:val="24"/>
          <w:szCs w:val="24"/>
          <w:lang w:val="sr-Cyrl-RS"/>
        </w:rPr>
      </w:pPr>
      <w:r>
        <w:rPr>
          <w:rFonts w:ascii="Times New Roman" w:hAnsi="Times New Roman" w:cs="Times New Roman"/>
          <w:b/>
          <w:color w:val="00B050"/>
          <w:sz w:val="24"/>
          <w:szCs w:val="24"/>
          <w:lang w:val="sr-Cyrl-RS"/>
        </w:rPr>
        <w:lastRenderedPageBreak/>
        <w:t xml:space="preserve">         </w:t>
      </w:r>
      <w:r w:rsidR="00E3384D" w:rsidRPr="00C62E5B">
        <w:rPr>
          <w:rFonts w:ascii="Times New Roman" w:hAnsi="Times New Roman" w:cs="Times New Roman"/>
          <w:b/>
          <w:sz w:val="24"/>
          <w:szCs w:val="24"/>
        </w:rPr>
        <w:t>Табела 1</w:t>
      </w:r>
      <w:r w:rsidR="00E3384D" w:rsidRPr="00C62E5B">
        <w:rPr>
          <w:rFonts w:ascii="Times New Roman" w:hAnsi="Times New Roman" w:cs="Times New Roman"/>
          <w:b/>
          <w:sz w:val="24"/>
          <w:szCs w:val="24"/>
          <w:lang w:val="sr-Cyrl-RS"/>
        </w:rPr>
        <w:t>1</w:t>
      </w:r>
    </w:p>
    <w:tbl>
      <w:tblPr>
        <w:tblStyle w:val="TableGrid"/>
        <w:tblW w:w="9747" w:type="dxa"/>
        <w:jc w:val="center"/>
        <w:tblLayout w:type="fixed"/>
        <w:tblLook w:val="04A0" w:firstRow="1" w:lastRow="0" w:firstColumn="1" w:lastColumn="0" w:noHBand="0" w:noVBand="1"/>
      </w:tblPr>
      <w:tblGrid>
        <w:gridCol w:w="3510"/>
        <w:gridCol w:w="1229"/>
        <w:gridCol w:w="1417"/>
        <w:gridCol w:w="1843"/>
        <w:gridCol w:w="1748"/>
      </w:tblGrid>
      <w:tr w:rsidR="00E3384D" w:rsidRPr="00E3384D" w:rsidTr="004214E4">
        <w:trPr>
          <w:jc w:val="center"/>
        </w:trPr>
        <w:tc>
          <w:tcPr>
            <w:tcW w:w="9747" w:type="dxa"/>
            <w:gridSpan w:val="5"/>
            <w:vAlign w:val="center"/>
          </w:tcPr>
          <w:p w:rsidR="00E3384D" w:rsidRPr="00E3384D" w:rsidRDefault="00E3384D" w:rsidP="00E3384D">
            <w:pPr>
              <w:jc w:val="center"/>
              <w:rPr>
                <w:rFonts w:ascii="Times New Roman" w:hAnsi="Times New Roman" w:cs="Times New Roman"/>
                <w:b/>
                <w:sz w:val="24"/>
                <w:szCs w:val="24"/>
                <w:lang w:val="sr-Cyrl-RS"/>
              </w:rPr>
            </w:pPr>
            <w:r w:rsidRPr="00E3384D">
              <w:rPr>
                <w:rFonts w:ascii="Times New Roman" w:hAnsi="Times New Roman" w:cs="Times New Roman"/>
                <w:b/>
                <w:sz w:val="24"/>
                <w:szCs w:val="24"/>
                <w:lang w:val="sr-Cyrl-RS"/>
              </w:rPr>
              <w:t>Подаци о набавкама на које се Закон не примењује по основама за изузеће</w:t>
            </w:r>
          </w:p>
          <w:p w:rsidR="00E3384D" w:rsidRPr="00E3384D" w:rsidRDefault="00E3384D" w:rsidP="00C62E5B">
            <w:pPr>
              <w:jc w:val="center"/>
              <w:rPr>
                <w:rFonts w:ascii="Times New Roman" w:hAnsi="Times New Roman" w:cs="Times New Roman"/>
                <w:b/>
                <w:sz w:val="24"/>
                <w:szCs w:val="24"/>
                <w:lang w:val="sr-Cyrl-RS"/>
              </w:rPr>
            </w:pPr>
            <w:r w:rsidRPr="00E3384D">
              <w:rPr>
                <w:rFonts w:ascii="Times New Roman" w:hAnsi="Times New Roman" w:cs="Times New Roman"/>
                <w:b/>
                <w:sz w:val="24"/>
                <w:szCs w:val="24"/>
                <w:lang w:val="sr-Cyrl-RS"/>
              </w:rPr>
              <w:t xml:space="preserve">у првом </w:t>
            </w:r>
            <w:r w:rsidR="00C62E5B">
              <w:rPr>
                <w:rFonts w:ascii="Times New Roman" w:hAnsi="Times New Roman" w:cs="Times New Roman"/>
                <w:b/>
                <w:sz w:val="24"/>
                <w:szCs w:val="24"/>
                <w:lang w:val="sr-Cyrl-RS"/>
              </w:rPr>
              <w:t>полугодишту</w:t>
            </w:r>
            <w:r w:rsidRPr="00E3384D">
              <w:rPr>
                <w:rFonts w:ascii="Times New Roman" w:hAnsi="Times New Roman" w:cs="Times New Roman"/>
                <w:b/>
                <w:sz w:val="24"/>
                <w:szCs w:val="24"/>
                <w:lang w:val="sr-Cyrl-RS"/>
              </w:rPr>
              <w:t xml:space="preserve"> 2014. године</w:t>
            </w:r>
          </w:p>
        </w:tc>
      </w:tr>
      <w:tr w:rsidR="00E3384D" w:rsidRPr="00E3384D" w:rsidTr="004214E4">
        <w:trPr>
          <w:jc w:val="center"/>
        </w:trPr>
        <w:tc>
          <w:tcPr>
            <w:tcW w:w="3510" w:type="dxa"/>
            <w:vAlign w:val="center"/>
          </w:tcPr>
          <w:p w:rsidR="00E3384D" w:rsidRDefault="00E3384D" w:rsidP="00E3384D">
            <w:pPr>
              <w:jc w:val="center"/>
              <w:rPr>
                <w:rFonts w:ascii="Times New Roman" w:hAnsi="Times New Roman" w:cs="Times New Roman"/>
                <w:b/>
                <w:sz w:val="24"/>
                <w:szCs w:val="24"/>
                <w:lang w:val="sr-Cyrl-RS"/>
              </w:rPr>
            </w:pPr>
            <w:r w:rsidRPr="00E3384D">
              <w:rPr>
                <w:rFonts w:ascii="Times New Roman" w:hAnsi="Times New Roman" w:cs="Times New Roman"/>
                <w:b/>
                <w:sz w:val="24"/>
                <w:szCs w:val="24"/>
                <w:lang w:val="sr-Cyrl-RS"/>
              </w:rPr>
              <w:t>Основ за изузеће</w:t>
            </w:r>
          </w:p>
          <w:p w:rsidR="0032571A" w:rsidRPr="00E3384D" w:rsidRDefault="0032571A" w:rsidP="00E3384D">
            <w:pPr>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7. Закона)</w:t>
            </w:r>
          </w:p>
        </w:tc>
        <w:tc>
          <w:tcPr>
            <w:tcW w:w="1229" w:type="dxa"/>
            <w:vAlign w:val="center"/>
          </w:tcPr>
          <w:p w:rsidR="00E3384D" w:rsidRPr="00E3384D" w:rsidRDefault="00E3384D" w:rsidP="00E3384D">
            <w:pPr>
              <w:jc w:val="center"/>
              <w:rPr>
                <w:rFonts w:ascii="Times New Roman" w:hAnsi="Times New Roman" w:cs="Times New Roman"/>
                <w:b/>
                <w:sz w:val="24"/>
                <w:szCs w:val="24"/>
                <w:lang w:val="sr-Cyrl-RS"/>
              </w:rPr>
            </w:pPr>
            <w:r w:rsidRPr="00E3384D">
              <w:rPr>
                <w:rFonts w:ascii="Times New Roman" w:hAnsi="Times New Roman" w:cs="Times New Roman"/>
                <w:b/>
                <w:sz w:val="24"/>
                <w:szCs w:val="24"/>
                <w:lang w:val="sr-Cyrl-RS"/>
              </w:rPr>
              <w:t>Укупан број</w:t>
            </w:r>
          </w:p>
        </w:tc>
        <w:tc>
          <w:tcPr>
            <w:tcW w:w="1417" w:type="dxa"/>
            <w:vAlign w:val="center"/>
          </w:tcPr>
          <w:p w:rsidR="00E3384D" w:rsidRPr="00E3384D" w:rsidRDefault="00E3384D" w:rsidP="00E3384D">
            <w:pPr>
              <w:jc w:val="center"/>
              <w:rPr>
                <w:rFonts w:ascii="Times New Roman" w:hAnsi="Times New Roman" w:cs="Times New Roman"/>
                <w:b/>
                <w:sz w:val="24"/>
                <w:szCs w:val="24"/>
                <w:lang w:val="sr-Cyrl-RS"/>
              </w:rPr>
            </w:pPr>
            <w:r w:rsidRPr="00E3384D">
              <w:rPr>
                <w:rFonts w:ascii="Times New Roman" w:hAnsi="Times New Roman" w:cs="Times New Roman"/>
                <w:b/>
                <w:sz w:val="24"/>
                <w:szCs w:val="24"/>
                <w:lang w:val="sr-Cyrl-RS"/>
              </w:rPr>
              <w:t>Укупна вредност</w:t>
            </w:r>
          </w:p>
        </w:tc>
        <w:tc>
          <w:tcPr>
            <w:tcW w:w="1843" w:type="dxa"/>
            <w:vAlign w:val="center"/>
          </w:tcPr>
          <w:p w:rsidR="00E3384D" w:rsidRPr="00E3384D" w:rsidRDefault="00E3384D" w:rsidP="00E3384D">
            <w:pPr>
              <w:jc w:val="center"/>
              <w:rPr>
                <w:rFonts w:ascii="Times New Roman" w:hAnsi="Times New Roman" w:cs="Times New Roman"/>
                <w:b/>
                <w:sz w:val="24"/>
                <w:szCs w:val="24"/>
                <w:lang w:val="sr-Cyrl-RS"/>
              </w:rPr>
            </w:pPr>
            <w:r w:rsidRPr="00E3384D">
              <w:rPr>
                <w:rFonts w:ascii="Times New Roman" w:hAnsi="Times New Roman" w:cs="Times New Roman"/>
                <w:b/>
                <w:sz w:val="24"/>
                <w:szCs w:val="24"/>
                <w:lang w:val="sr-Cyrl-RS"/>
              </w:rPr>
              <w:t>Бројчана заступљеност</w:t>
            </w:r>
          </w:p>
        </w:tc>
        <w:tc>
          <w:tcPr>
            <w:tcW w:w="1748" w:type="dxa"/>
            <w:vAlign w:val="center"/>
          </w:tcPr>
          <w:p w:rsidR="00E3384D" w:rsidRPr="00E3384D" w:rsidRDefault="00E3384D" w:rsidP="00E3384D">
            <w:pPr>
              <w:jc w:val="center"/>
              <w:rPr>
                <w:rFonts w:ascii="Times New Roman" w:hAnsi="Times New Roman" w:cs="Times New Roman"/>
                <w:b/>
                <w:sz w:val="24"/>
                <w:szCs w:val="24"/>
                <w:lang w:val="sr-Cyrl-RS"/>
              </w:rPr>
            </w:pPr>
            <w:r w:rsidRPr="00E3384D">
              <w:rPr>
                <w:rFonts w:ascii="Times New Roman" w:hAnsi="Times New Roman" w:cs="Times New Roman"/>
                <w:b/>
                <w:sz w:val="24"/>
                <w:szCs w:val="24"/>
                <w:lang w:val="sr-Cyrl-RS"/>
              </w:rPr>
              <w:t>Вредносна заступљеност</w:t>
            </w:r>
          </w:p>
        </w:tc>
      </w:tr>
      <w:tr w:rsidR="00E3384D" w:rsidRPr="00E3384D" w:rsidTr="004214E4">
        <w:trPr>
          <w:jc w:val="center"/>
        </w:trPr>
        <w:tc>
          <w:tcPr>
            <w:tcW w:w="3510" w:type="dxa"/>
            <w:vAlign w:val="center"/>
          </w:tcPr>
          <w:p w:rsidR="00CC0F5C" w:rsidRDefault="00E3384D" w:rsidP="00E3384D">
            <w:pPr>
              <w:jc w:val="center"/>
              <w:rPr>
                <w:rFonts w:ascii="Times New Roman" w:hAnsi="Times New Roman" w:cs="Times New Roman"/>
                <w:b/>
                <w:lang w:val="sr-Cyrl-RS"/>
              </w:rPr>
            </w:pPr>
            <w:r w:rsidRPr="00E3384D">
              <w:rPr>
                <w:rFonts w:ascii="Times New Roman" w:hAnsi="Times New Roman" w:cs="Times New Roman"/>
                <w:b/>
                <w:lang w:val="sr-Cyrl-RS"/>
              </w:rPr>
              <w:t xml:space="preserve">Искључиво право на обављање делатности која је предмет </w:t>
            </w:r>
          </w:p>
          <w:p w:rsidR="00E3384D" w:rsidRPr="00E3384D" w:rsidRDefault="00E3384D" w:rsidP="00E3384D">
            <w:pPr>
              <w:jc w:val="center"/>
              <w:rPr>
                <w:rFonts w:ascii="Times New Roman" w:hAnsi="Times New Roman" w:cs="Times New Roman"/>
                <w:b/>
                <w:lang w:val="sr-Cyrl-RS"/>
              </w:rPr>
            </w:pPr>
            <w:r w:rsidRPr="00E3384D">
              <w:rPr>
                <w:rFonts w:ascii="Times New Roman" w:hAnsi="Times New Roman" w:cs="Times New Roman"/>
                <w:b/>
                <w:lang w:val="sr-Cyrl-RS"/>
              </w:rPr>
              <w:t>јавне набавке</w:t>
            </w:r>
          </w:p>
        </w:tc>
        <w:tc>
          <w:tcPr>
            <w:tcW w:w="1229" w:type="dxa"/>
            <w:vAlign w:val="center"/>
          </w:tcPr>
          <w:p w:rsidR="00E3384D" w:rsidRPr="00E3384D" w:rsidRDefault="00E3384D" w:rsidP="00E3384D">
            <w:pPr>
              <w:jc w:val="center"/>
              <w:rPr>
                <w:lang w:val="sr-Cyrl-RS"/>
              </w:rPr>
            </w:pPr>
            <w:r w:rsidRPr="00E3384D">
              <w:rPr>
                <w:lang w:val="sr-Cyrl-RS"/>
              </w:rPr>
              <w:t>15.753</w:t>
            </w:r>
          </w:p>
        </w:tc>
        <w:tc>
          <w:tcPr>
            <w:tcW w:w="1417" w:type="dxa"/>
            <w:vAlign w:val="center"/>
          </w:tcPr>
          <w:p w:rsidR="00E3384D" w:rsidRPr="00E3384D" w:rsidRDefault="00E3384D" w:rsidP="00E3384D">
            <w:pPr>
              <w:jc w:val="center"/>
              <w:rPr>
                <w:lang w:val="sr-Cyrl-RS"/>
              </w:rPr>
            </w:pPr>
            <w:r w:rsidRPr="00E3384D">
              <w:rPr>
                <w:lang w:val="sr-Cyrl-RS"/>
              </w:rPr>
              <w:t>13.292.255</w:t>
            </w:r>
          </w:p>
        </w:tc>
        <w:tc>
          <w:tcPr>
            <w:tcW w:w="1843" w:type="dxa"/>
            <w:vAlign w:val="center"/>
          </w:tcPr>
          <w:p w:rsidR="00E3384D" w:rsidRPr="00E3384D" w:rsidRDefault="00E3384D" w:rsidP="00E3384D">
            <w:pPr>
              <w:jc w:val="center"/>
              <w:rPr>
                <w:lang w:val="sr-Cyrl-RS"/>
              </w:rPr>
            </w:pPr>
            <w:r w:rsidRPr="00E3384D">
              <w:rPr>
                <w:lang w:val="sr-Cyrl-RS"/>
              </w:rPr>
              <w:t>12%</w:t>
            </w:r>
          </w:p>
        </w:tc>
        <w:tc>
          <w:tcPr>
            <w:tcW w:w="1748" w:type="dxa"/>
            <w:vAlign w:val="center"/>
          </w:tcPr>
          <w:p w:rsidR="00E3384D" w:rsidRPr="00E3384D" w:rsidRDefault="00E3384D" w:rsidP="00E3384D">
            <w:pPr>
              <w:jc w:val="center"/>
              <w:rPr>
                <w:lang w:val="sr-Cyrl-RS"/>
              </w:rPr>
            </w:pPr>
            <w:r w:rsidRPr="00E3384D">
              <w:rPr>
                <w:lang w:val="sr-Cyrl-RS"/>
              </w:rPr>
              <w:t>29%</w:t>
            </w:r>
          </w:p>
        </w:tc>
      </w:tr>
      <w:tr w:rsidR="00E3384D" w:rsidRPr="00E3384D" w:rsidTr="004214E4">
        <w:trPr>
          <w:jc w:val="center"/>
        </w:trPr>
        <w:tc>
          <w:tcPr>
            <w:tcW w:w="3510" w:type="dxa"/>
            <w:vAlign w:val="center"/>
          </w:tcPr>
          <w:p w:rsidR="00E3384D" w:rsidRPr="00E3384D" w:rsidRDefault="00E3384D" w:rsidP="00E3384D">
            <w:pPr>
              <w:jc w:val="center"/>
              <w:rPr>
                <w:rFonts w:ascii="Times New Roman" w:hAnsi="Times New Roman" w:cs="Times New Roman"/>
                <w:b/>
                <w:lang w:val="sr-Cyrl-RS"/>
              </w:rPr>
            </w:pPr>
            <w:r w:rsidRPr="00E3384D">
              <w:rPr>
                <w:rFonts w:ascii="Times New Roman" w:hAnsi="Times New Roman" w:cs="Times New Roman"/>
                <w:b/>
                <w:lang w:val="sr-Cyrl-RS"/>
              </w:rPr>
              <w:t>Набавке из средстава</w:t>
            </w:r>
            <w:r w:rsidR="005223DD">
              <w:rPr>
                <w:rFonts w:ascii="Times New Roman" w:hAnsi="Times New Roman" w:cs="Times New Roman"/>
                <w:b/>
                <w:lang w:val="sr-Cyrl-RS"/>
              </w:rPr>
              <w:t xml:space="preserve"> страних кредита</w:t>
            </w:r>
            <w:r w:rsidRPr="00E3384D">
              <w:rPr>
                <w:rFonts w:ascii="Times New Roman" w:hAnsi="Times New Roman" w:cs="Times New Roman"/>
                <w:b/>
                <w:lang w:val="sr-Cyrl-RS"/>
              </w:rPr>
              <w:t xml:space="preserve"> добијених од међународних организација и међународних финансијских институција</w:t>
            </w:r>
          </w:p>
        </w:tc>
        <w:tc>
          <w:tcPr>
            <w:tcW w:w="1229" w:type="dxa"/>
            <w:vAlign w:val="center"/>
          </w:tcPr>
          <w:p w:rsidR="00E3384D" w:rsidRPr="00E3384D" w:rsidRDefault="00E3384D" w:rsidP="00E3384D">
            <w:pPr>
              <w:jc w:val="center"/>
              <w:rPr>
                <w:lang w:val="sr-Cyrl-RS"/>
              </w:rPr>
            </w:pPr>
            <w:r w:rsidRPr="00E3384D">
              <w:rPr>
                <w:lang w:val="sr-Cyrl-RS"/>
              </w:rPr>
              <w:t>130</w:t>
            </w:r>
          </w:p>
        </w:tc>
        <w:tc>
          <w:tcPr>
            <w:tcW w:w="1417" w:type="dxa"/>
            <w:vAlign w:val="center"/>
          </w:tcPr>
          <w:p w:rsidR="00E3384D" w:rsidRPr="00E3384D" w:rsidRDefault="00E3384D" w:rsidP="00E3384D">
            <w:pPr>
              <w:jc w:val="center"/>
              <w:rPr>
                <w:lang w:val="sr-Cyrl-RS"/>
              </w:rPr>
            </w:pPr>
            <w:r w:rsidRPr="00E3384D">
              <w:rPr>
                <w:lang w:val="sr-Cyrl-RS"/>
              </w:rPr>
              <w:t>5.908.472</w:t>
            </w:r>
          </w:p>
        </w:tc>
        <w:tc>
          <w:tcPr>
            <w:tcW w:w="1843" w:type="dxa"/>
            <w:vAlign w:val="center"/>
          </w:tcPr>
          <w:p w:rsidR="00E3384D" w:rsidRPr="00E3384D" w:rsidRDefault="00E3384D" w:rsidP="00E3384D">
            <w:pPr>
              <w:jc w:val="center"/>
              <w:rPr>
                <w:lang w:val="sr-Cyrl-RS"/>
              </w:rPr>
            </w:pPr>
            <w:r w:rsidRPr="00E3384D">
              <w:rPr>
                <w:lang w:val="sr-Cyrl-RS"/>
              </w:rPr>
              <w:t>0%</w:t>
            </w:r>
          </w:p>
        </w:tc>
        <w:tc>
          <w:tcPr>
            <w:tcW w:w="1748" w:type="dxa"/>
            <w:vAlign w:val="center"/>
          </w:tcPr>
          <w:p w:rsidR="00E3384D" w:rsidRPr="00E3384D" w:rsidRDefault="00E3384D" w:rsidP="00E3384D">
            <w:pPr>
              <w:jc w:val="center"/>
              <w:rPr>
                <w:lang w:val="sr-Cyrl-RS"/>
              </w:rPr>
            </w:pPr>
            <w:r w:rsidRPr="00E3384D">
              <w:rPr>
                <w:lang w:val="sr-Cyrl-RS"/>
              </w:rPr>
              <w:t>13%</w:t>
            </w:r>
          </w:p>
        </w:tc>
      </w:tr>
      <w:tr w:rsidR="00E3384D" w:rsidRPr="00E3384D" w:rsidTr="004214E4">
        <w:trPr>
          <w:jc w:val="center"/>
        </w:trPr>
        <w:tc>
          <w:tcPr>
            <w:tcW w:w="3510" w:type="dxa"/>
            <w:vAlign w:val="center"/>
          </w:tcPr>
          <w:p w:rsidR="00E3384D" w:rsidRPr="00E3384D" w:rsidRDefault="00E3384D" w:rsidP="00E3384D">
            <w:pPr>
              <w:jc w:val="center"/>
              <w:rPr>
                <w:rFonts w:ascii="Times New Roman" w:hAnsi="Times New Roman" w:cs="Times New Roman"/>
                <w:b/>
                <w:lang w:val="sr-Cyrl-RS"/>
              </w:rPr>
            </w:pPr>
            <w:r w:rsidRPr="00E3384D">
              <w:rPr>
                <w:rFonts w:ascii="Times New Roman" w:hAnsi="Times New Roman" w:cs="Times New Roman"/>
                <w:b/>
                <w:lang w:val="sr-Cyrl-RS"/>
              </w:rPr>
              <w:t>Набавке чија је намена обављање делатности електронских комуникација и продаја електронских комуникационих услуга</w:t>
            </w:r>
          </w:p>
        </w:tc>
        <w:tc>
          <w:tcPr>
            <w:tcW w:w="1229" w:type="dxa"/>
            <w:vAlign w:val="center"/>
          </w:tcPr>
          <w:p w:rsidR="00E3384D" w:rsidRPr="00E3384D" w:rsidRDefault="00E3384D" w:rsidP="00E3384D">
            <w:pPr>
              <w:jc w:val="center"/>
              <w:rPr>
                <w:lang w:val="sr-Cyrl-RS"/>
              </w:rPr>
            </w:pPr>
            <w:r w:rsidRPr="00E3384D">
              <w:rPr>
                <w:lang w:val="sr-Cyrl-RS"/>
              </w:rPr>
              <w:t>751</w:t>
            </w:r>
          </w:p>
        </w:tc>
        <w:tc>
          <w:tcPr>
            <w:tcW w:w="1417" w:type="dxa"/>
            <w:vAlign w:val="center"/>
          </w:tcPr>
          <w:p w:rsidR="00E3384D" w:rsidRPr="00E3384D" w:rsidRDefault="00E3384D" w:rsidP="00E3384D">
            <w:pPr>
              <w:jc w:val="center"/>
              <w:rPr>
                <w:lang w:val="sr-Cyrl-RS"/>
              </w:rPr>
            </w:pPr>
            <w:r w:rsidRPr="00E3384D">
              <w:rPr>
                <w:lang w:val="sr-Cyrl-RS"/>
              </w:rPr>
              <w:t>9.208.278</w:t>
            </w:r>
          </w:p>
        </w:tc>
        <w:tc>
          <w:tcPr>
            <w:tcW w:w="1843" w:type="dxa"/>
            <w:vAlign w:val="center"/>
          </w:tcPr>
          <w:p w:rsidR="00E3384D" w:rsidRPr="00E3384D" w:rsidRDefault="00E3384D" w:rsidP="00E3384D">
            <w:pPr>
              <w:jc w:val="center"/>
              <w:rPr>
                <w:lang w:val="sr-Cyrl-RS"/>
              </w:rPr>
            </w:pPr>
            <w:r w:rsidRPr="00E3384D">
              <w:rPr>
                <w:lang w:val="sr-Cyrl-RS"/>
              </w:rPr>
              <w:t>1%</w:t>
            </w:r>
          </w:p>
        </w:tc>
        <w:tc>
          <w:tcPr>
            <w:tcW w:w="1748" w:type="dxa"/>
            <w:vAlign w:val="center"/>
          </w:tcPr>
          <w:p w:rsidR="00E3384D" w:rsidRPr="00E3384D" w:rsidRDefault="00E3384D" w:rsidP="00E3384D">
            <w:pPr>
              <w:jc w:val="center"/>
              <w:rPr>
                <w:lang w:val="sr-Cyrl-RS"/>
              </w:rPr>
            </w:pPr>
            <w:r w:rsidRPr="00E3384D">
              <w:rPr>
                <w:lang w:val="sr-Cyrl-RS"/>
              </w:rPr>
              <w:t>20%</w:t>
            </w:r>
          </w:p>
        </w:tc>
      </w:tr>
      <w:tr w:rsidR="00E3384D" w:rsidRPr="00E3384D" w:rsidTr="004214E4">
        <w:trPr>
          <w:jc w:val="center"/>
        </w:trPr>
        <w:tc>
          <w:tcPr>
            <w:tcW w:w="3510" w:type="dxa"/>
            <w:vAlign w:val="center"/>
          </w:tcPr>
          <w:p w:rsidR="00E3384D" w:rsidRPr="00E3384D" w:rsidRDefault="00E3384D" w:rsidP="00E3384D">
            <w:pPr>
              <w:jc w:val="center"/>
              <w:rPr>
                <w:rFonts w:ascii="Times New Roman" w:hAnsi="Times New Roman" w:cs="Times New Roman"/>
                <w:b/>
                <w:lang w:val="sr-Cyrl-RS"/>
              </w:rPr>
            </w:pPr>
            <w:r w:rsidRPr="00E3384D">
              <w:rPr>
                <w:rFonts w:ascii="Times New Roman" w:hAnsi="Times New Roman" w:cs="Times New Roman"/>
                <w:b/>
                <w:lang w:val="sr-Cyrl-RS"/>
              </w:rPr>
              <w:t>Набавке добара и услуга ради даље продаје, ради прераде и продаје</w:t>
            </w:r>
          </w:p>
        </w:tc>
        <w:tc>
          <w:tcPr>
            <w:tcW w:w="1229" w:type="dxa"/>
            <w:vAlign w:val="center"/>
          </w:tcPr>
          <w:p w:rsidR="00E3384D" w:rsidRPr="00E3384D" w:rsidRDefault="00E3384D" w:rsidP="00E3384D">
            <w:pPr>
              <w:jc w:val="center"/>
              <w:rPr>
                <w:lang w:val="sr-Cyrl-RS"/>
              </w:rPr>
            </w:pPr>
            <w:r w:rsidRPr="00E3384D">
              <w:rPr>
                <w:lang w:val="sr-Cyrl-RS"/>
              </w:rPr>
              <w:t>10.688</w:t>
            </w:r>
          </w:p>
        </w:tc>
        <w:tc>
          <w:tcPr>
            <w:tcW w:w="1417" w:type="dxa"/>
            <w:vAlign w:val="center"/>
          </w:tcPr>
          <w:p w:rsidR="00E3384D" w:rsidRPr="00E3384D" w:rsidRDefault="00E3384D" w:rsidP="00E3384D">
            <w:pPr>
              <w:jc w:val="center"/>
              <w:rPr>
                <w:lang w:val="sr-Cyrl-RS"/>
              </w:rPr>
            </w:pPr>
            <w:r w:rsidRPr="00E3384D">
              <w:rPr>
                <w:lang w:val="sr-Cyrl-RS"/>
              </w:rPr>
              <w:t>4.908.406</w:t>
            </w:r>
          </w:p>
        </w:tc>
        <w:tc>
          <w:tcPr>
            <w:tcW w:w="1843" w:type="dxa"/>
            <w:vAlign w:val="center"/>
          </w:tcPr>
          <w:p w:rsidR="00E3384D" w:rsidRPr="00E3384D" w:rsidRDefault="00E3384D" w:rsidP="00E3384D">
            <w:pPr>
              <w:jc w:val="center"/>
              <w:rPr>
                <w:lang w:val="sr-Cyrl-RS"/>
              </w:rPr>
            </w:pPr>
            <w:r w:rsidRPr="00E3384D">
              <w:rPr>
                <w:lang w:val="sr-Cyrl-RS"/>
              </w:rPr>
              <w:t>8%</w:t>
            </w:r>
          </w:p>
        </w:tc>
        <w:tc>
          <w:tcPr>
            <w:tcW w:w="1748" w:type="dxa"/>
            <w:vAlign w:val="center"/>
          </w:tcPr>
          <w:p w:rsidR="00E3384D" w:rsidRPr="00E3384D" w:rsidRDefault="00E3384D" w:rsidP="00E3384D">
            <w:pPr>
              <w:jc w:val="center"/>
              <w:rPr>
                <w:lang w:val="sr-Cyrl-RS"/>
              </w:rPr>
            </w:pPr>
            <w:r w:rsidRPr="00E3384D">
              <w:rPr>
                <w:lang w:val="sr-Cyrl-RS"/>
              </w:rPr>
              <w:t>11%</w:t>
            </w:r>
          </w:p>
        </w:tc>
      </w:tr>
      <w:tr w:rsidR="00E3384D" w:rsidRPr="00E3384D" w:rsidTr="004214E4">
        <w:trPr>
          <w:jc w:val="center"/>
        </w:trPr>
        <w:tc>
          <w:tcPr>
            <w:tcW w:w="3510" w:type="dxa"/>
            <w:vAlign w:val="center"/>
          </w:tcPr>
          <w:p w:rsidR="00E3384D" w:rsidRPr="00E3384D" w:rsidRDefault="00E3384D" w:rsidP="00E3384D">
            <w:pPr>
              <w:jc w:val="center"/>
              <w:rPr>
                <w:rFonts w:ascii="Times New Roman" w:hAnsi="Times New Roman" w:cs="Times New Roman"/>
                <w:b/>
                <w:lang w:val="sr-Cyrl-RS"/>
              </w:rPr>
            </w:pPr>
            <w:r w:rsidRPr="00E3384D">
              <w:rPr>
                <w:rFonts w:ascii="Times New Roman" w:hAnsi="Times New Roman" w:cs="Times New Roman"/>
                <w:b/>
                <w:lang w:val="sr-Cyrl-RS"/>
              </w:rPr>
              <w:t>Набавке испод доњег лимита за јавне набавке мале вредности</w:t>
            </w:r>
          </w:p>
        </w:tc>
        <w:tc>
          <w:tcPr>
            <w:tcW w:w="1229" w:type="dxa"/>
            <w:vAlign w:val="center"/>
          </w:tcPr>
          <w:p w:rsidR="00E3384D" w:rsidRPr="00E3384D" w:rsidRDefault="00E3384D" w:rsidP="00E3384D">
            <w:pPr>
              <w:jc w:val="center"/>
              <w:rPr>
                <w:lang w:val="sr-Cyrl-RS"/>
              </w:rPr>
            </w:pPr>
            <w:r w:rsidRPr="00E3384D">
              <w:rPr>
                <w:lang w:val="sr-Cyrl-RS"/>
              </w:rPr>
              <w:t>96.000</w:t>
            </w:r>
          </w:p>
        </w:tc>
        <w:tc>
          <w:tcPr>
            <w:tcW w:w="1417" w:type="dxa"/>
            <w:vAlign w:val="center"/>
          </w:tcPr>
          <w:p w:rsidR="00E3384D" w:rsidRPr="00E3384D" w:rsidRDefault="00E3384D" w:rsidP="00E3384D">
            <w:pPr>
              <w:jc w:val="center"/>
              <w:rPr>
                <w:lang w:val="sr-Cyrl-RS"/>
              </w:rPr>
            </w:pPr>
            <w:r w:rsidRPr="00E3384D">
              <w:rPr>
                <w:lang w:val="sr-Cyrl-RS"/>
              </w:rPr>
              <w:t>3.877.377</w:t>
            </w:r>
          </w:p>
        </w:tc>
        <w:tc>
          <w:tcPr>
            <w:tcW w:w="1843" w:type="dxa"/>
            <w:vAlign w:val="center"/>
          </w:tcPr>
          <w:p w:rsidR="00E3384D" w:rsidRPr="00E3384D" w:rsidRDefault="00E3384D" w:rsidP="00E3384D">
            <w:pPr>
              <w:jc w:val="center"/>
              <w:rPr>
                <w:lang w:val="sr-Cyrl-RS"/>
              </w:rPr>
            </w:pPr>
            <w:r w:rsidRPr="00E3384D">
              <w:rPr>
                <w:lang w:val="sr-Cyrl-RS"/>
              </w:rPr>
              <w:t>72%</w:t>
            </w:r>
          </w:p>
        </w:tc>
        <w:tc>
          <w:tcPr>
            <w:tcW w:w="1748" w:type="dxa"/>
            <w:vAlign w:val="center"/>
          </w:tcPr>
          <w:p w:rsidR="00E3384D" w:rsidRPr="00E3384D" w:rsidRDefault="00E3384D" w:rsidP="00E3384D">
            <w:pPr>
              <w:jc w:val="center"/>
              <w:rPr>
                <w:lang w:val="sr-Cyrl-RS"/>
              </w:rPr>
            </w:pPr>
            <w:r w:rsidRPr="00E3384D">
              <w:rPr>
                <w:lang w:val="sr-Cyrl-RS"/>
              </w:rPr>
              <w:t>8%</w:t>
            </w:r>
          </w:p>
        </w:tc>
      </w:tr>
      <w:tr w:rsidR="00E3384D" w:rsidRPr="00E3384D" w:rsidTr="004214E4">
        <w:trPr>
          <w:jc w:val="center"/>
        </w:trPr>
        <w:tc>
          <w:tcPr>
            <w:tcW w:w="3510" w:type="dxa"/>
            <w:vAlign w:val="center"/>
          </w:tcPr>
          <w:p w:rsidR="00CC0F5C" w:rsidRDefault="00E3384D" w:rsidP="00E3384D">
            <w:pPr>
              <w:jc w:val="center"/>
              <w:rPr>
                <w:rFonts w:ascii="Times New Roman" w:hAnsi="Times New Roman" w:cs="Times New Roman"/>
                <w:b/>
                <w:lang w:val="sr-Cyrl-RS"/>
              </w:rPr>
            </w:pPr>
            <w:r w:rsidRPr="00E3384D">
              <w:rPr>
                <w:rFonts w:ascii="Times New Roman" w:hAnsi="Times New Roman" w:cs="Times New Roman"/>
                <w:b/>
                <w:lang w:val="sr-Cyrl-RS"/>
              </w:rPr>
              <w:t xml:space="preserve">Набавка енергије или горива за производњу енергије </w:t>
            </w:r>
          </w:p>
          <w:p w:rsidR="00E3384D" w:rsidRPr="00E3384D" w:rsidRDefault="00E3384D" w:rsidP="00E3384D">
            <w:pPr>
              <w:jc w:val="center"/>
              <w:rPr>
                <w:rFonts w:ascii="Times New Roman" w:hAnsi="Times New Roman" w:cs="Times New Roman"/>
                <w:b/>
                <w:lang w:val="sr-Cyrl-RS"/>
              </w:rPr>
            </w:pPr>
            <w:r w:rsidRPr="00E3384D">
              <w:rPr>
                <w:rFonts w:ascii="Times New Roman" w:hAnsi="Times New Roman" w:cs="Times New Roman"/>
                <w:b/>
                <w:lang w:val="sr-Cyrl-RS"/>
              </w:rPr>
              <w:t>у области енергетике</w:t>
            </w:r>
          </w:p>
        </w:tc>
        <w:tc>
          <w:tcPr>
            <w:tcW w:w="1229" w:type="dxa"/>
            <w:vAlign w:val="center"/>
          </w:tcPr>
          <w:p w:rsidR="00E3384D" w:rsidRPr="00E3384D" w:rsidRDefault="00E3384D" w:rsidP="00E3384D">
            <w:pPr>
              <w:jc w:val="center"/>
              <w:rPr>
                <w:lang w:val="sr-Cyrl-RS"/>
              </w:rPr>
            </w:pPr>
            <w:r w:rsidRPr="00E3384D">
              <w:rPr>
                <w:lang w:val="sr-Cyrl-RS"/>
              </w:rPr>
              <w:t>43</w:t>
            </w:r>
          </w:p>
        </w:tc>
        <w:tc>
          <w:tcPr>
            <w:tcW w:w="1417" w:type="dxa"/>
            <w:vAlign w:val="center"/>
          </w:tcPr>
          <w:p w:rsidR="00E3384D" w:rsidRPr="00E3384D" w:rsidRDefault="00E3384D" w:rsidP="00E3384D">
            <w:pPr>
              <w:jc w:val="center"/>
              <w:rPr>
                <w:lang w:val="sr-Cyrl-RS"/>
              </w:rPr>
            </w:pPr>
            <w:r w:rsidRPr="00E3384D">
              <w:rPr>
                <w:lang w:val="sr-Cyrl-RS"/>
              </w:rPr>
              <w:t>3.361.463</w:t>
            </w:r>
          </w:p>
        </w:tc>
        <w:tc>
          <w:tcPr>
            <w:tcW w:w="1843" w:type="dxa"/>
            <w:vAlign w:val="center"/>
          </w:tcPr>
          <w:p w:rsidR="00E3384D" w:rsidRPr="00E3384D" w:rsidRDefault="00E3384D" w:rsidP="00E3384D">
            <w:pPr>
              <w:jc w:val="center"/>
              <w:rPr>
                <w:lang w:val="sr-Cyrl-RS"/>
              </w:rPr>
            </w:pPr>
            <w:r w:rsidRPr="00E3384D">
              <w:rPr>
                <w:lang w:val="sr-Cyrl-RS"/>
              </w:rPr>
              <w:t>0%</w:t>
            </w:r>
          </w:p>
        </w:tc>
        <w:tc>
          <w:tcPr>
            <w:tcW w:w="1748" w:type="dxa"/>
            <w:vAlign w:val="center"/>
          </w:tcPr>
          <w:p w:rsidR="00E3384D" w:rsidRPr="00E3384D" w:rsidRDefault="00E3384D" w:rsidP="00E3384D">
            <w:pPr>
              <w:jc w:val="center"/>
              <w:rPr>
                <w:lang w:val="sr-Cyrl-RS"/>
              </w:rPr>
            </w:pPr>
            <w:r w:rsidRPr="00E3384D">
              <w:rPr>
                <w:lang w:val="sr-Cyrl-RS"/>
              </w:rPr>
              <w:t>7%</w:t>
            </w:r>
          </w:p>
        </w:tc>
      </w:tr>
      <w:tr w:rsidR="00E3384D" w:rsidRPr="00E3384D" w:rsidTr="004214E4">
        <w:trPr>
          <w:jc w:val="center"/>
        </w:trPr>
        <w:tc>
          <w:tcPr>
            <w:tcW w:w="3510" w:type="dxa"/>
            <w:vAlign w:val="center"/>
          </w:tcPr>
          <w:p w:rsidR="00E3384D" w:rsidRPr="00E3384D" w:rsidRDefault="00E3384D" w:rsidP="00E3384D">
            <w:pPr>
              <w:jc w:val="center"/>
              <w:rPr>
                <w:rFonts w:ascii="Times New Roman" w:hAnsi="Times New Roman" w:cs="Times New Roman"/>
                <w:b/>
                <w:lang w:val="sr-Cyrl-RS"/>
              </w:rPr>
            </w:pPr>
            <w:r w:rsidRPr="00E3384D">
              <w:rPr>
                <w:rFonts w:ascii="Times New Roman" w:hAnsi="Times New Roman" w:cs="Times New Roman"/>
                <w:b/>
                <w:lang w:val="sr-Cyrl-RS"/>
              </w:rPr>
              <w:t>Остало</w:t>
            </w:r>
          </w:p>
        </w:tc>
        <w:tc>
          <w:tcPr>
            <w:tcW w:w="1229" w:type="dxa"/>
            <w:vAlign w:val="center"/>
          </w:tcPr>
          <w:p w:rsidR="00E3384D" w:rsidRPr="00E3384D" w:rsidRDefault="00E3384D" w:rsidP="00E3384D">
            <w:pPr>
              <w:jc w:val="center"/>
              <w:rPr>
                <w:lang w:val="sr-Cyrl-RS"/>
              </w:rPr>
            </w:pPr>
            <w:r w:rsidRPr="00E3384D">
              <w:rPr>
                <w:lang w:val="sr-Cyrl-RS"/>
              </w:rPr>
              <w:t>9.799</w:t>
            </w:r>
          </w:p>
        </w:tc>
        <w:tc>
          <w:tcPr>
            <w:tcW w:w="1417" w:type="dxa"/>
            <w:vAlign w:val="center"/>
          </w:tcPr>
          <w:p w:rsidR="00E3384D" w:rsidRPr="00E3384D" w:rsidRDefault="00E3384D" w:rsidP="00E3384D">
            <w:pPr>
              <w:jc w:val="center"/>
              <w:rPr>
                <w:lang w:val="sr-Cyrl-RS"/>
              </w:rPr>
            </w:pPr>
            <w:r w:rsidRPr="00E3384D">
              <w:rPr>
                <w:lang w:val="sr-Cyrl-RS"/>
              </w:rPr>
              <w:t>5.653.985</w:t>
            </w:r>
          </w:p>
        </w:tc>
        <w:tc>
          <w:tcPr>
            <w:tcW w:w="1843" w:type="dxa"/>
            <w:vAlign w:val="center"/>
          </w:tcPr>
          <w:p w:rsidR="00E3384D" w:rsidRPr="00E3384D" w:rsidRDefault="00E3384D" w:rsidP="00E3384D">
            <w:pPr>
              <w:jc w:val="center"/>
              <w:rPr>
                <w:lang w:val="sr-Cyrl-RS"/>
              </w:rPr>
            </w:pPr>
            <w:r w:rsidRPr="00E3384D">
              <w:rPr>
                <w:lang w:val="sr-Cyrl-RS"/>
              </w:rPr>
              <w:t>7%</w:t>
            </w:r>
          </w:p>
        </w:tc>
        <w:tc>
          <w:tcPr>
            <w:tcW w:w="1748" w:type="dxa"/>
            <w:vAlign w:val="center"/>
          </w:tcPr>
          <w:p w:rsidR="00E3384D" w:rsidRPr="00E3384D" w:rsidRDefault="00E3384D" w:rsidP="00E3384D">
            <w:pPr>
              <w:jc w:val="center"/>
              <w:rPr>
                <w:lang w:val="sr-Cyrl-RS"/>
              </w:rPr>
            </w:pPr>
            <w:r w:rsidRPr="00E3384D">
              <w:rPr>
                <w:lang w:val="sr-Cyrl-RS"/>
              </w:rPr>
              <w:t>12%</w:t>
            </w:r>
          </w:p>
        </w:tc>
      </w:tr>
      <w:tr w:rsidR="00E3384D" w:rsidRPr="00E3384D" w:rsidTr="004214E4">
        <w:trPr>
          <w:jc w:val="center"/>
        </w:trPr>
        <w:tc>
          <w:tcPr>
            <w:tcW w:w="3510" w:type="dxa"/>
            <w:vAlign w:val="center"/>
          </w:tcPr>
          <w:p w:rsidR="00E3384D" w:rsidRPr="00E3384D" w:rsidRDefault="00E3384D" w:rsidP="00E3384D">
            <w:pPr>
              <w:jc w:val="center"/>
              <w:rPr>
                <w:rFonts w:ascii="Times New Roman" w:hAnsi="Times New Roman" w:cs="Times New Roman"/>
                <w:b/>
                <w:sz w:val="24"/>
                <w:szCs w:val="24"/>
                <w:lang w:val="sr-Cyrl-RS"/>
              </w:rPr>
            </w:pPr>
            <w:r w:rsidRPr="00E3384D">
              <w:rPr>
                <w:rFonts w:ascii="Times New Roman" w:hAnsi="Times New Roman" w:cs="Times New Roman"/>
                <w:b/>
                <w:sz w:val="24"/>
                <w:szCs w:val="24"/>
                <w:lang w:val="sr-Cyrl-RS"/>
              </w:rPr>
              <w:t>Укупно</w:t>
            </w:r>
          </w:p>
        </w:tc>
        <w:tc>
          <w:tcPr>
            <w:tcW w:w="1229" w:type="dxa"/>
            <w:vAlign w:val="center"/>
          </w:tcPr>
          <w:p w:rsidR="00E3384D" w:rsidRPr="00E3384D" w:rsidRDefault="00E3384D" w:rsidP="00E3384D">
            <w:pPr>
              <w:jc w:val="center"/>
              <w:rPr>
                <w:b/>
                <w:lang w:val="sr-Cyrl-RS"/>
              </w:rPr>
            </w:pPr>
            <w:r w:rsidRPr="00E3384D">
              <w:rPr>
                <w:b/>
                <w:lang w:val="sr-Cyrl-RS"/>
              </w:rPr>
              <w:t>133.164</w:t>
            </w:r>
          </w:p>
        </w:tc>
        <w:tc>
          <w:tcPr>
            <w:tcW w:w="1417" w:type="dxa"/>
            <w:vAlign w:val="center"/>
          </w:tcPr>
          <w:p w:rsidR="00E3384D" w:rsidRPr="00E3384D" w:rsidRDefault="00E3384D" w:rsidP="00E3384D">
            <w:pPr>
              <w:jc w:val="center"/>
              <w:rPr>
                <w:b/>
                <w:lang w:val="sr-Cyrl-RS"/>
              </w:rPr>
            </w:pPr>
            <w:r w:rsidRPr="00E3384D">
              <w:rPr>
                <w:b/>
                <w:lang w:val="sr-Cyrl-RS"/>
              </w:rPr>
              <w:t>46.210.236</w:t>
            </w:r>
          </w:p>
        </w:tc>
        <w:tc>
          <w:tcPr>
            <w:tcW w:w="1843" w:type="dxa"/>
            <w:vAlign w:val="center"/>
          </w:tcPr>
          <w:p w:rsidR="00E3384D" w:rsidRPr="00E3384D" w:rsidRDefault="00E3384D" w:rsidP="00E3384D">
            <w:pPr>
              <w:jc w:val="center"/>
              <w:rPr>
                <w:b/>
                <w:lang w:val="sr-Cyrl-RS"/>
              </w:rPr>
            </w:pPr>
            <w:r w:rsidRPr="00E3384D">
              <w:rPr>
                <w:b/>
                <w:lang w:val="sr-Cyrl-RS"/>
              </w:rPr>
              <w:t>100%</w:t>
            </w:r>
          </w:p>
        </w:tc>
        <w:tc>
          <w:tcPr>
            <w:tcW w:w="1748" w:type="dxa"/>
            <w:vAlign w:val="center"/>
          </w:tcPr>
          <w:p w:rsidR="00E3384D" w:rsidRPr="00E3384D" w:rsidRDefault="00E3384D" w:rsidP="00E3384D">
            <w:pPr>
              <w:jc w:val="center"/>
              <w:rPr>
                <w:b/>
                <w:lang w:val="sr-Cyrl-RS"/>
              </w:rPr>
            </w:pPr>
            <w:r w:rsidRPr="00E3384D">
              <w:rPr>
                <w:b/>
                <w:lang w:val="sr-Cyrl-RS"/>
              </w:rPr>
              <w:t>100%</w:t>
            </w:r>
          </w:p>
        </w:tc>
      </w:tr>
    </w:tbl>
    <w:p w:rsidR="00E3384D" w:rsidRPr="0081508B" w:rsidRDefault="007A675B" w:rsidP="0094612A">
      <w:pPr>
        <w:rPr>
          <w:rFonts w:ascii="Times New Roman" w:hAnsi="Times New Roman" w:cs="Times New Roman"/>
          <w:b/>
          <w:color w:val="FF0000"/>
          <w:sz w:val="24"/>
          <w:szCs w:val="24"/>
          <w:lang w:val="sr-Cyrl-RS"/>
        </w:rPr>
      </w:pPr>
      <w:r>
        <w:rPr>
          <w:rFonts w:ascii="Times New Roman" w:hAnsi="Times New Roman" w:cs="Times New Roman"/>
          <w:b/>
          <w:color w:val="FF0000"/>
          <w:sz w:val="24"/>
          <w:szCs w:val="24"/>
          <w:lang w:val="sr-Cyrl-RS"/>
        </w:rPr>
        <w:t xml:space="preserve"> </w:t>
      </w:r>
    </w:p>
    <w:p w:rsidR="00F75E25" w:rsidRPr="009B3038" w:rsidRDefault="00F75E25" w:rsidP="00F75E25">
      <w:pPr>
        <w:jc w:val="both"/>
        <w:rPr>
          <w:rFonts w:ascii="Times New Roman" w:hAnsi="Times New Roman" w:cs="Times New Roman"/>
          <w:b/>
          <w:sz w:val="24"/>
          <w:szCs w:val="24"/>
        </w:rPr>
      </w:pPr>
      <w:r>
        <w:rPr>
          <w:rFonts w:ascii="Times New Roman" w:hAnsi="Times New Roman" w:cs="Times New Roman"/>
          <w:sz w:val="24"/>
          <w:szCs w:val="24"/>
        </w:rPr>
        <w:t>Набавке на које се није примењивао Закон биле су најзаступљеније код јавних предузећа, локалних самоуправа и јавних комуналних предузећа кој</w:t>
      </w:r>
      <w:r w:rsidR="00CC0F5C">
        <w:rPr>
          <w:rFonts w:ascii="Times New Roman" w:hAnsi="Times New Roman" w:cs="Times New Roman"/>
          <w:sz w:val="24"/>
          <w:szCs w:val="24"/>
          <w:lang w:val="sr-Cyrl-RS"/>
        </w:rPr>
        <w:t>и</w:t>
      </w:r>
      <w:r>
        <w:rPr>
          <w:rFonts w:ascii="Times New Roman" w:hAnsi="Times New Roman" w:cs="Times New Roman"/>
          <w:sz w:val="24"/>
          <w:szCs w:val="24"/>
        </w:rPr>
        <w:t xml:space="preserve"> су збирно учествовал</w:t>
      </w:r>
      <w:r w:rsidR="00CC0F5C">
        <w:rPr>
          <w:rFonts w:ascii="Times New Roman" w:hAnsi="Times New Roman" w:cs="Times New Roman"/>
          <w:sz w:val="24"/>
          <w:szCs w:val="24"/>
          <w:lang w:val="sr-Cyrl-RS"/>
        </w:rPr>
        <w:t>и</w:t>
      </w:r>
      <w:r>
        <w:rPr>
          <w:rFonts w:ascii="Times New Roman" w:hAnsi="Times New Roman" w:cs="Times New Roman"/>
          <w:sz w:val="24"/>
          <w:szCs w:val="24"/>
        </w:rPr>
        <w:t xml:space="preserve"> са </w:t>
      </w:r>
      <w:r w:rsidR="00DA30E1">
        <w:rPr>
          <w:rFonts w:ascii="Times New Roman" w:hAnsi="Times New Roman" w:cs="Times New Roman"/>
          <w:sz w:val="24"/>
          <w:szCs w:val="24"/>
          <w:lang w:val="sr-Cyrl-RS"/>
        </w:rPr>
        <w:t>80</w:t>
      </w:r>
      <w:r w:rsidRPr="00786677">
        <w:rPr>
          <w:rFonts w:ascii="Times New Roman" w:hAnsi="Times New Roman" w:cs="Times New Roman"/>
          <w:sz w:val="24"/>
          <w:szCs w:val="24"/>
        </w:rPr>
        <w:t>%</w:t>
      </w:r>
      <w:r w:rsidRPr="00483FBC">
        <w:rPr>
          <w:rFonts w:ascii="Times New Roman" w:hAnsi="Times New Roman" w:cs="Times New Roman"/>
          <w:color w:val="FF0000"/>
          <w:sz w:val="24"/>
          <w:szCs w:val="24"/>
        </w:rPr>
        <w:t xml:space="preserve"> </w:t>
      </w:r>
      <w:r>
        <w:rPr>
          <w:rFonts w:ascii="Times New Roman" w:hAnsi="Times New Roman" w:cs="Times New Roman"/>
          <w:sz w:val="24"/>
          <w:szCs w:val="24"/>
        </w:rPr>
        <w:t xml:space="preserve">у укупној вредности набавки изузетих од примене </w:t>
      </w:r>
      <w:r>
        <w:rPr>
          <w:rFonts w:ascii="Times New Roman" w:hAnsi="Times New Roman" w:cs="Times New Roman"/>
          <w:sz w:val="24"/>
          <w:szCs w:val="24"/>
          <w:lang w:val="sr-Cyrl-RS"/>
        </w:rPr>
        <w:t>Закона</w:t>
      </w:r>
      <w:r>
        <w:rPr>
          <w:rFonts w:ascii="Times New Roman" w:hAnsi="Times New Roman" w:cs="Times New Roman"/>
          <w:sz w:val="24"/>
          <w:szCs w:val="24"/>
        </w:rPr>
        <w:t xml:space="preserve"> (</w:t>
      </w:r>
      <w:r w:rsidRPr="00A40C0D">
        <w:rPr>
          <w:rFonts w:ascii="Times New Roman" w:hAnsi="Times New Roman" w:cs="Times New Roman"/>
          <w:sz w:val="24"/>
          <w:szCs w:val="24"/>
        </w:rPr>
        <w:t xml:space="preserve">Табела </w:t>
      </w:r>
      <w:r w:rsidRPr="00A40C0D">
        <w:rPr>
          <w:rFonts w:ascii="Times New Roman" w:hAnsi="Times New Roman" w:cs="Times New Roman"/>
          <w:sz w:val="24"/>
          <w:szCs w:val="24"/>
          <w:lang w:val="sr-Cyrl-RS"/>
        </w:rPr>
        <w:t>12</w:t>
      </w:r>
      <w:r w:rsidRPr="00A40C0D">
        <w:rPr>
          <w:rFonts w:ascii="Times New Roman" w:hAnsi="Times New Roman" w:cs="Times New Roman"/>
          <w:sz w:val="24"/>
          <w:szCs w:val="24"/>
        </w:rPr>
        <w:t>).</w:t>
      </w:r>
    </w:p>
    <w:p w:rsidR="00E3384D" w:rsidRDefault="00E3384D" w:rsidP="0094612A">
      <w:pPr>
        <w:rPr>
          <w:rFonts w:ascii="Times New Roman" w:hAnsi="Times New Roman" w:cs="Times New Roman"/>
          <w:b/>
          <w:sz w:val="24"/>
          <w:szCs w:val="24"/>
          <w:lang w:val="sr-Cyrl-RS"/>
        </w:rPr>
      </w:pPr>
    </w:p>
    <w:p w:rsidR="0081508B" w:rsidRDefault="0081508B" w:rsidP="0094612A">
      <w:pPr>
        <w:rPr>
          <w:rFonts w:ascii="Times New Roman" w:hAnsi="Times New Roman" w:cs="Times New Roman"/>
          <w:b/>
          <w:sz w:val="24"/>
          <w:szCs w:val="24"/>
          <w:lang w:val="sr-Cyrl-RS"/>
        </w:rPr>
      </w:pPr>
    </w:p>
    <w:p w:rsidR="0081508B" w:rsidRDefault="0081508B" w:rsidP="0094612A">
      <w:pPr>
        <w:rPr>
          <w:rFonts w:ascii="Times New Roman" w:hAnsi="Times New Roman" w:cs="Times New Roman"/>
          <w:b/>
          <w:sz w:val="24"/>
          <w:szCs w:val="24"/>
          <w:lang w:val="sr-Cyrl-RS"/>
        </w:rPr>
      </w:pPr>
    </w:p>
    <w:p w:rsidR="0081508B" w:rsidRDefault="0081508B" w:rsidP="0094612A">
      <w:pPr>
        <w:rPr>
          <w:rFonts w:ascii="Times New Roman" w:hAnsi="Times New Roman" w:cs="Times New Roman"/>
          <w:b/>
          <w:sz w:val="24"/>
          <w:szCs w:val="24"/>
          <w:lang w:val="sr-Cyrl-RS"/>
        </w:rPr>
      </w:pPr>
    </w:p>
    <w:p w:rsidR="0081508B" w:rsidRDefault="0081508B" w:rsidP="0094612A">
      <w:pPr>
        <w:rPr>
          <w:rFonts w:ascii="Times New Roman" w:hAnsi="Times New Roman" w:cs="Times New Roman"/>
          <w:b/>
          <w:sz w:val="24"/>
          <w:szCs w:val="24"/>
          <w:lang w:val="sr-Cyrl-RS"/>
        </w:rPr>
      </w:pPr>
    </w:p>
    <w:p w:rsidR="0081508B" w:rsidRDefault="0081508B" w:rsidP="0094612A">
      <w:pPr>
        <w:rPr>
          <w:rFonts w:ascii="Times New Roman" w:hAnsi="Times New Roman" w:cs="Times New Roman"/>
          <w:b/>
          <w:sz w:val="24"/>
          <w:szCs w:val="24"/>
          <w:lang w:val="sr-Cyrl-RS"/>
        </w:rPr>
      </w:pPr>
    </w:p>
    <w:p w:rsidR="0081508B" w:rsidRDefault="0081508B" w:rsidP="0094612A">
      <w:pPr>
        <w:rPr>
          <w:rFonts w:ascii="Times New Roman" w:hAnsi="Times New Roman" w:cs="Times New Roman"/>
          <w:b/>
          <w:sz w:val="24"/>
          <w:szCs w:val="24"/>
          <w:lang w:val="sr-Cyrl-RS"/>
        </w:rPr>
      </w:pPr>
    </w:p>
    <w:p w:rsidR="0081508B" w:rsidRDefault="0081508B" w:rsidP="0094612A">
      <w:pPr>
        <w:rPr>
          <w:rFonts w:ascii="Times New Roman" w:hAnsi="Times New Roman" w:cs="Times New Roman"/>
          <w:b/>
          <w:sz w:val="24"/>
          <w:szCs w:val="24"/>
          <w:lang w:val="sr-Cyrl-RS"/>
        </w:rPr>
      </w:pPr>
    </w:p>
    <w:p w:rsidR="000127D0" w:rsidRDefault="00A5747B" w:rsidP="0094612A">
      <w:pPr>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            </w:t>
      </w:r>
    </w:p>
    <w:p w:rsidR="00280F6B" w:rsidRPr="00E3384D" w:rsidRDefault="000127D0" w:rsidP="0094612A">
      <w:pPr>
        <w:rPr>
          <w:rFonts w:ascii="Times New Roman" w:hAnsi="Times New Roman" w:cs="Times New Roman"/>
          <w:sz w:val="24"/>
          <w:szCs w:val="24"/>
          <w:lang w:val="sr-Cyrl-RS"/>
        </w:rPr>
      </w:pPr>
      <w:r>
        <w:rPr>
          <w:rFonts w:ascii="Times New Roman" w:hAnsi="Times New Roman" w:cs="Times New Roman"/>
          <w:b/>
          <w:sz w:val="24"/>
          <w:szCs w:val="24"/>
          <w:lang w:val="sr-Cyrl-RS"/>
        </w:rPr>
        <w:lastRenderedPageBreak/>
        <w:t xml:space="preserve">            </w:t>
      </w:r>
      <w:r w:rsidR="00C013A0" w:rsidRPr="007A675B">
        <w:rPr>
          <w:rFonts w:ascii="Times New Roman" w:hAnsi="Times New Roman" w:cs="Times New Roman"/>
          <w:b/>
          <w:sz w:val="24"/>
          <w:szCs w:val="24"/>
        </w:rPr>
        <w:t xml:space="preserve">Табела </w:t>
      </w:r>
      <w:r w:rsidR="000512E4" w:rsidRPr="007A675B">
        <w:rPr>
          <w:rFonts w:ascii="Times New Roman" w:hAnsi="Times New Roman" w:cs="Times New Roman"/>
          <w:b/>
          <w:sz w:val="24"/>
          <w:szCs w:val="24"/>
        </w:rPr>
        <w:t>1</w:t>
      </w:r>
      <w:r w:rsidR="00E3384D">
        <w:rPr>
          <w:rFonts w:ascii="Times New Roman" w:hAnsi="Times New Roman" w:cs="Times New Roman"/>
          <w:b/>
          <w:sz w:val="24"/>
          <w:szCs w:val="24"/>
          <w:lang w:val="sr-Cyrl-RS"/>
        </w:rPr>
        <w:t>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7"/>
        <w:gridCol w:w="1187"/>
        <w:gridCol w:w="2410"/>
        <w:gridCol w:w="1417"/>
        <w:gridCol w:w="1667"/>
      </w:tblGrid>
      <w:tr w:rsidR="00483FBC" w:rsidRPr="00483FBC" w:rsidTr="00A8404D">
        <w:trPr>
          <w:trHeight w:val="858"/>
          <w:jc w:val="center"/>
        </w:trPr>
        <w:tc>
          <w:tcPr>
            <w:tcW w:w="9288" w:type="dxa"/>
            <w:gridSpan w:val="5"/>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b/>
                <w:sz w:val="24"/>
                <w:szCs w:val="24"/>
              </w:rPr>
            </w:pPr>
            <w:r w:rsidRPr="00302F5A">
              <w:rPr>
                <w:rFonts w:ascii="Times New Roman" w:eastAsia="Times New Roman" w:hAnsi="Times New Roman" w:cs="Times New Roman"/>
                <w:b/>
                <w:sz w:val="24"/>
                <w:szCs w:val="24"/>
              </w:rPr>
              <w:t xml:space="preserve">Преглед набавки изузетих од примене </w:t>
            </w:r>
            <w:r w:rsidR="00F75E25">
              <w:rPr>
                <w:rFonts w:ascii="Times New Roman" w:eastAsia="Times New Roman" w:hAnsi="Times New Roman" w:cs="Times New Roman"/>
                <w:b/>
                <w:sz w:val="24"/>
                <w:szCs w:val="24"/>
                <w:lang w:val="sr-Cyrl-RS"/>
              </w:rPr>
              <w:t>Закона</w:t>
            </w:r>
            <w:r w:rsidRPr="00302F5A">
              <w:rPr>
                <w:rFonts w:ascii="Times New Roman" w:eastAsia="Times New Roman" w:hAnsi="Times New Roman" w:cs="Times New Roman"/>
                <w:b/>
                <w:sz w:val="24"/>
                <w:szCs w:val="24"/>
              </w:rPr>
              <w:t xml:space="preserve"> по категоријама наручилаца</w:t>
            </w:r>
          </w:p>
          <w:p w:rsidR="00483FBC" w:rsidRPr="00FA4DC5" w:rsidRDefault="00FA4DC5" w:rsidP="007A675B">
            <w:pPr>
              <w:tabs>
                <w:tab w:val="left" w:pos="1885"/>
              </w:tabs>
              <w:spacing w:after="0" w:line="240" w:lineRule="auto"/>
              <w:jc w:val="center"/>
              <w:rPr>
                <w:rFonts w:ascii="Times New Roman" w:eastAsia="Times New Roman" w:hAnsi="Times New Roman" w:cs="Times New Roman"/>
                <w:b/>
                <w:sz w:val="20"/>
                <w:szCs w:val="20"/>
              </w:rPr>
            </w:pPr>
            <w:r w:rsidRPr="00302F5A">
              <w:rPr>
                <w:rFonts w:ascii="Times New Roman" w:eastAsia="Times New Roman" w:hAnsi="Times New Roman" w:cs="Times New Roman"/>
                <w:b/>
                <w:sz w:val="24"/>
                <w:szCs w:val="24"/>
              </w:rPr>
              <w:t xml:space="preserve"> у  првом </w:t>
            </w:r>
            <w:r w:rsidR="007A675B" w:rsidRPr="00302F5A">
              <w:rPr>
                <w:rFonts w:ascii="Times New Roman" w:eastAsia="Times New Roman" w:hAnsi="Times New Roman" w:cs="Times New Roman"/>
                <w:b/>
                <w:sz w:val="24"/>
                <w:szCs w:val="24"/>
                <w:lang w:val="sr-Cyrl-RS"/>
              </w:rPr>
              <w:t xml:space="preserve">полугодишту </w:t>
            </w:r>
            <w:r w:rsidRPr="00302F5A">
              <w:rPr>
                <w:rFonts w:ascii="Times New Roman" w:eastAsia="Times New Roman" w:hAnsi="Times New Roman" w:cs="Times New Roman"/>
                <w:b/>
                <w:sz w:val="24"/>
                <w:szCs w:val="24"/>
              </w:rPr>
              <w:t xml:space="preserve"> 2014</w:t>
            </w:r>
            <w:r w:rsidR="00483FBC" w:rsidRPr="00302F5A">
              <w:rPr>
                <w:rFonts w:ascii="Times New Roman" w:eastAsia="Times New Roman" w:hAnsi="Times New Roman" w:cs="Times New Roman"/>
                <w:b/>
                <w:sz w:val="24"/>
                <w:szCs w:val="24"/>
              </w:rPr>
              <w:t xml:space="preserve">. </w:t>
            </w:r>
            <w:r w:rsidR="007A675B" w:rsidRPr="00302F5A">
              <w:rPr>
                <w:rFonts w:ascii="Times New Roman" w:eastAsia="Times New Roman" w:hAnsi="Times New Roman" w:cs="Times New Roman"/>
                <w:b/>
                <w:sz w:val="24"/>
                <w:szCs w:val="24"/>
                <w:lang w:val="sr-Cyrl-RS"/>
              </w:rPr>
              <w:t>г</w:t>
            </w:r>
            <w:r w:rsidRPr="00302F5A">
              <w:rPr>
                <w:rFonts w:ascii="Times New Roman" w:eastAsia="Times New Roman" w:hAnsi="Times New Roman" w:cs="Times New Roman"/>
                <w:b/>
                <w:sz w:val="24"/>
                <w:szCs w:val="24"/>
              </w:rPr>
              <w:t>одине</w:t>
            </w:r>
          </w:p>
        </w:tc>
      </w:tr>
      <w:tr w:rsidR="00483FBC" w:rsidRPr="00483FBC" w:rsidTr="00A8404D">
        <w:trPr>
          <w:trHeight w:val="772"/>
          <w:jc w:val="center"/>
        </w:trPr>
        <w:tc>
          <w:tcPr>
            <w:tcW w:w="2607" w:type="dxa"/>
            <w:vMerge w:val="restart"/>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b/>
              </w:rPr>
            </w:pPr>
            <w:r w:rsidRPr="00302F5A">
              <w:rPr>
                <w:rFonts w:ascii="Times New Roman" w:eastAsia="Times New Roman" w:hAnsi="Times New Roman" w:cs="Times New Roman"/>
                <w:b/>
              </w:rPr>
              <w:t>Категорија</w:t>
            </w:r>
          </w:p>
        </w:tc>
        <w:tc>
          <w:tcPr>
            <w:tcW w:w="1187" w:type="dxa"/>
            <w:vMerge w:val="restart"/>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b/>
              </w:rPr>
            </w:pPr>
            <w:r w:rsidRPr="00302F5A">
              <w:rPr>
                <w:rFonts w:ascii="Times New Roman" w:eastAsia="Times New Roman" w:hAnsi="Times New Roman" w:cs="Times New Roman"/>
                <w:b/>
              </w:rPr>
              <w:t>Број уговора</w:t>
            </w:r>
          </w:p>
        </w:tc>
        <w:tc>
          <w:tcPr>
            <w:tcW w:w="2410" w:type="dxa"/>
            <w:vMerge w:val="restart"/>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b/>
              </w:rPr>
            </w:pPr>
            <w:r w:rsidRPr="00302F5A">
              <w:rPr>
                <w:rFonts w:ascii="Times New Roman" w:eastAsia="Times New Roman" w:hAnsi="Times New Roman" w:cs="Times New Roman"/>
                <w:b/>
              </w:rPr>
              <w:t xml:space="preserve">Уговорена вредност без ПДВ-а </w:t>
            </w:r>
          </w:p>
          <w:p w:rsidR="00483FBC" w:rsidRPr="00302F5A" w:rsidRDefault="00483FBC" w:rsidP="00483FBC">
            <w:pPr>
              <w:tabs>
                <w:tab w:val="left" w:pos="1885"/>
              </w:tabs>
              <w:spacing w:after="0" w:line="240" w:lineRule="auto"/>
              <w:jc w:val="center"/>
              <w:rPr>
                <w:rFonts w:ascii="Times New Roman" w:eastAsia="Times New Roman" w:hAnsi="Times New Roman" w:cs="Times New Roman"/>
                <w:b/>
              </w:rPr>
            </w:pPr>
            <w:r w:rsidRPr="00302F5A">
              <w:rPr>
                <w:rFonts w:ascii="Times New Roman" w:eastAsia="Times New Roman" w:hAnsi="Times New Roman" w:cs="Times New Roman"/>
                <w:b/>
              </w:rPr>
              <w:t>(у хиљадама динара)</w:t>
            </w:r>
          </w:p>
        </w:tc>
        <w:tc>
          <w:tcPr>
            <w:tcW w:w="3084" w:type="dxa"/>
            <w:gridSpan w:val="2"/>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b/>
              </w:rPr>
            </w:pPr>
            <w:r w:rsidRPr="00302F5A">
              <w:rPr>
                <w:rFonts w:ascii="Times New Roman" w:eastAsia="Times New Roman" w:hAnsi="Times New Roman" w:cs="Times New Roman"/>
                <w:b/>
              </w:rPr>
              <w:t xml:space="preserve">Заступљеност у укупном броју/вредности </w:t>
            </w:r>
          </w:p>
        </w:tc>
      </w:tr>
      <w:tr w:rsidR="00483FBC" w:rsidRPr="00483FBC" w:rsidTr="00A8404D">
        <w:trPr>
          <w:trHeight w:val="891"/>
          <w:jc w:val="center"/>
        </w:trPr>
        <w:tc>
          <w:tcPr>
            <w:tcW w:w="2607" w:type="dxa"/>
            <w:vMerge/>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b/>
              </w:rPr>
            </w:pPr>
          </w:p>
        </w:tc>
        <w:tc>
          <w:tcPr>
            <w:tcW w:w="1187" w:type="dxa"/>
            <w:vMerge/>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b/>
              </w:rPr>
            </w:pPr>
          </w:p>
        </w:tc>
        <w:tc>
          <w:tcPr>
            <w:tcW w:w="2410" w:type="dxa"/>
            <w:vMerge/>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b/>
              </w:rPr>
            </w:pPr>
          </w:p>
        </w:tc>
        <w:tc>
          <w:tcPr>
            <w:tcW w:w="141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b/>
              </w:rPr>
            </w:pPr>
            <w:r w:rsidRPr="00302F5A">
              <w:rPr>
                <w:rFonts w:ascii="Times New Roman" w:eastAsia="Times New Roman" w:hAnsi="Times New Roman" w:cs="Times New Roman"/>
                <w:b/>
              </w:rPr>
              <w:t xml:space="preserve">по броју </w:t>
            </w:r>
          </w:p>
          <w:p w:rsidR="00483FBC" w:rsidRPr="00302F5A" w:rsidRDefault="00483FBC" w:rsidP="00483FBC">
            <w:pPr>
              <w:tabs>
                <w:tab w:val="left" w:pos="1885"/>
              </w:tabs>
              <w:spacing w:after="0" w:line="240" w:lineRule="auto"/>
              <w:jc w:val="center"/>
              <w:rPr>
                <w:rFonts w:ascii="Times New Roman" w:eastAsia="Times New Roman" w:hAnsi="Times New Roman" w:cs="Times New Roman"/>
                <w:b/>
              </w:rPr>
            </w:pPr>
            <w:r w:rsidRPr="00302F5A">
              <w:rPr>
                <w:rFonts w:ascii="Times New Roman" w:eastAsia="Times New Roman" w:hAnsi="Times New Roman" w:cs="Times New Roman"/>
                <w:b/>
              </w:rPr>
              <w:t>(у %)</w:t>
            </w:r>
          </w:p>
        </w:tc>
        <w:tc>
          <w:tcPr>
            <w:tcW w:w="166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b/>
              </w:rPr>
            </w:pPr>
            <w:r w:rsidRPr="00302F5A">
              <w:rPr>
                <w:rFonts w:ascii="Times New Roman" w:eastAsia="Times New Roman" w:hAnsi="Times New Roman" w:cs="Times New Roman"/>
                <w:b/>
              </w:rPr>
              <w:t>по вредности (у %)</w:t>
            </w:r>
          </w:p>
        </w:tc>
      </w:tr>
      <w:tr w:rsidR="00483FBC" w:rsidRPr="00483FBC" w:rsidTr="00A8404D">
        <w:trPr>
          <w:jc w:val="center"/>
        </w:trPr>
        <w:tc>
          <w:tcPr>
            <w:tcW w:w="260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b/>
              </w:rPr>
            </w:pPr>
            <w:r w:rsidRPr="00302F5A">
              <w:rPr>
                <w:rFonts w:ascii="Times New Roman" w:eastAsia="Times New Roman" w:hAnsi="Times New Roman" w:cs="Times New Roman"/>
                <w:b/>
              </w:rPr>
              <w:t>Органи државне управе</w:t>
            </w:r>
          </w:p>
        </w:tc>
        <w:tc>
          <w:tcPr>
            <w:tcW w:w="118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rPr>
            </w:pPr>
            <w:r w:rsidRPr="00302F5A">
              <w:rPr>
                <w:rFonts w:ascii="Times New Roman" w:eastAsia="Times New Roman" w:hAnsi="Times New Roman" w:cs="Times New Roman"/>
              </w:rPr>
              <w:t>5.610</w:t>
            </w:r>
          </w:p>
        </w:tc>
        <w:tc>
          <w:tcPr>
            <w:tcW w:w="2410" w:type="dxa"/>
            <w:shd w:val="clear" w:color="auto" w:fill="auto"/>
            <w:vAlign w:val="center"/>
          </w:tcPr>
          <w:p w:rsidR="00483FBC" w:rsidRPr="00285C22" w:rsidRDefault="00285C22" w:rsidP="00483FBC">
            <w:pPr>
              <w:tabs>
                <w:tab w:val="left" w:pos="1885"/>
              </w:tabs>
              <w:spacing w:after="0" w:line="240" w:lineRule="auto"/>
              <w:jc w:val="center"/>
              <w:rPr>
                <w:rFonts w:ascii="Times New Roman" w:eastAsia="Times New Roman" w:hAnsi="Times New Roman" w:cs="Times New Roman"/>
                <w:lang w:val="sr-Cyrl-RS"/>
              </w:rPr>
            </w:pPr>
            <w:r>
              <w:rPr>
                <w:rFonts w:ascii="Times New Roman" w:eastAsia="Times New Roman" w:hAnsi="Times New Roman" w:cs="Times New Roman"/>
                <w:lang w:val="sr-Cyrl-RS"/>
              </w:rPr>
              <w:t>1.432.611</w:t>
            </w:r>
          </w:p>
        </w:tc>
        <w:tc>
          <w:tcPr>
            <w:tcW w:w="141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rPr>
            </w:pPr>
            <w:r w:rsidRPr="00302F5A">
              <w:rPr>
                <w:rFonts w:ascii="Times New Roman" w:eastAsia="Times New Roman" w:hAnsi="Times New Roman" w:cs="Times New Roman"/>
              </w:rPr>
              <w:t>4</w:t>
            </w:r>
          </w:p>
        </w:tc>
        <w:tc>
          <w:tcPr>
            <w:tcW w:w="1667" w:type="dxa"/>
            <w:shd w:val="clear" w:color="auto" w:fill="auto"/>
            <w:vAlign w:val="center"/>
          </w:tcPr>
          <w:p w:rsidR="00483FBC" w:rsidRPr="002200A2" w:rsidRDefault="002200A2" w:rsidP="00483FBC">
            <w:pPr>
              <w:tabs>
                <w:tab w:val="left" w:pos="1885"/>
              </w:tabs>
              <w:spacing w:after="0" w:line="240" w:lineRule="auto"/>
              <w:jc w:val="center"/>
              <w:rPr>
                <w:rFonts w:ascii="Times New Roman" w:eastAsia="Times New Roman" w:hAnsi="Times New Roman" w:cs="Times New Roman"/>
                <w:lang w:val="sr-Cyrl-RS"/>
              </w:rPr>
            </w:pPr>
            <w:r>
              <w:rPr>
                <w:rFonts w:ascii="Times New Roman" w:eastAsia="Times New Roman" w:hAnsi="Times New Roman" w:cs="Times New Roman"/>
                <w:lang w:val="sr-Cyrl-RS"/>
              </w:rPr>
              <w:t>3</w:t>
            </w:r>
          </w:p>
        </w:tc>
      </w:tr>
      <w:tr w:rsidR="00483FBC" w:rsidRPr="00483FBC" w:rsidTr="00A8404D">
        <w:trPr>
          <w:jc w:val="center"/>
        </w:trPr>
        <w:tc>
          <w:tcPr>
            <w:tcW w:w="260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b/>
              </w:rPr>
            </w:pPr>
            <w:r w:rsidRPr="00302F5A">
              <w:rPr>
                <w:rFonts w:ascii="Times New Roman" w:eastAsia="Times New Roman" w:hAnsi="Times New Roman" w:cs="Times New Roman"/>
                <w:b/>
              </w:rPr>
              <w:t>Правосуђе</w:t>
            </w:r>
          </w:p>
        </w:tc>
        <w:tc>
          <w:tcPr>
            <w:tcW w:w="118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rPr>
            </w:pPr>
            <w:r w:rsidRPr="00302F5A">
              <w:rPr>
                <w:rFonts w:ascii="Times New Roman" w:eastAsia="Times New Roman" w:hAnsi="Times New Roman" w:cs="Times New Roman"/>
              </w:rPr>
              <w:t>1.090</w:t>
            </w:r>
          </w:p>
        </w:tc>
        <w:tc>
          <w:tcPr>
            <w:tcW w:w="2410"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rPr>
            </w:pPr>
            <w:r w:rsidRPr="00302F5A">
              <w:rPr>
                <w:rFonts w:ascii="Times New Roman" w:eastAsia="Times New Roman" w:hAnsi="Times New Roman" w:cs="Times New Roman"/>
              </w:rPr>
              <w:t>111.167</w:t>
            </w:r>
          </w:p>
        </w:tc>
        <w:tc>
          <w:tcPr>
            <w:tcW w:w="141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rPr>
            </w:pPr>
            <w:r w:rsidRPr="00302F5A">
              <w:rPr>
                <w:rFonts w:ascii="Times New Roman" w:eastAsia="Times New Roman" w:hAnsi="Times New Roman" w:cs="Times New Roman"/>
              </w:rPr>
              <w:t>1</w:t>
            </w:r>
          </w:p>
        </w:tc>
        <w:tc>
          <w:tcPr>
            <w:tcW w:w="166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rPr>
            </w:pPr>
            <w:r w:rsidRPr="00302F5A">
              <w:rPr>
                <w:rFonts w:ascii="Times New Roman" w:eastAsia="Times New Roman" w:hAnsi="Times New Roman" w:cs="Times New Roman"/>
              </w:rPr>
              <w:t>0</w:t>
            </w:r>
          </w:p>
        </w:tc>
      </w:tr>
      <w:tr w:rsidR="00483FBC" w:rsidRPr="00483FBC" w:rsidTr="00A8404D">
        <w:trPr>
          <w:jc w:val="center"/>
        </w:trPr>
        <w:tc>
          <w:tcPr>
            <w:tcW w:w="260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b/>
              </w:rPr>
            </w:pPr>
            <w:r w:rsidRPr="00302F5A">
              <w:rPr>
                <w:rFonts w:ascii="Times New Roman" w:eastAsia="Times New Roman" w:hAnsi="Times New Roman" w:cs="Times New Roman"/>
                <w:b/>
              </w:rPr>
              <w:t>Здравство и социјална заштита</w:t>
            </w:r>
          </w:p>
        </w:tc>
        <w:tc>
          <w:tcPr>
            <w:tcW w:w="118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rPr>
            </w:pPr>
            <w:r w:rsidRPr="00302F5A">
              <w:rPr>
                <w:rFonts w:ascii="Times New Roman" w:eastAsia="Times New Roman" w:hAnsi="Times New Roman" w:cs="Times New Roman"/>
              </w:rPr>
              <w:t>17.125</w:t>
            </w:r>
          </w:p>
        </w:tc>
        <w:tc>
          <w:tcPr>
            <w:tcW w:w="2410" w:type="dxa"/>
            <w:shd w:val="clear" w:color="auto" w:fill="auto"/>
            <w:vAlign w:val="center"/>
          </w:tcPr>
          <w:p w:rsidR="00483FBC" w:rsidRPr="00285C22" w:rsidRDefault="00285C22" w:rsidP="00483FBC">
            <w:pPr>
              <w:tabs>
                <w:tab w:val="left" w:pos="1885"/>
              </w:tabs>
              <w:spacing w:after="0" w:line="240" w:lineRule="auto"/>
              <w:jc w:val="center"/>
              <w:rPr>
                <w:rFonts w:ascii="Times New Roman" w:eastAsia="Times New Roman" w:hAnsi="Times New Roman" w:cs="Times New Roman"/>
                <w:lang w:val="sr-Cyrl-RS"/>
              </w:rPr>
            </w:pPr>
            <w:r>
              <w:rPr>
                <w:rFonts w:ascii="Times New Roman" w:eastAsia="Times New Roman" w:hAnsi="Times New Roman" w:cs="Times New Roman"/>
                <w:lang w:val="sr-Cyrl-RS"/>
              </w:rPr>
              <w:t>2.595.789</w:t>
            </w:r>
          </w:p>
        </w:tc>
        <w:tc>
          <w:tcPr>
            <w:tcW w:w="141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rPr>
            </w:pPr>
            <w:r w:rsidRPr="00302F5A">
              <w:rPr>
                <w:rFonts w:ascii="Times New Roman" w:eastAsia="Times New Roman" w:hAnsi="Times New Roman" w:cs="Times New Roman"/>
              </w:rPr>
              <w:t>13</w:t>
            </w:r>
          </w:p>
        </w:tc>
        <w:tc>
          <w:tcPr>
            <w:tcW w:w="1667" w:type="dxa"/>
            <w:shd w:val="clear" w:color="auto" w:fill="auto"/>
            <w:vAlign w:val="center"/>
          </w:tcPr>
          <w:p w:rsidR="00483FBC" w:rsidRPr="002200A2" w:rsidRDefault="002200A2" w:rsidP="00483FBC">
            <w:pPr>
              <w:tabs>
                <w:tab w:val="left" w:pos="1885"/>
              </w:tabs>
              <w:spacing w:after="0" w:line="240" w:lineRule="auto"/>
              <w:jc w:val="center"/>
              <w:rPr>
                <w:rFonts w:ascii="Times New Roman" w:eastAsia="Times New Roman" w:hAnsi="Times New Roman" w:cs="Times New Roman"/>
                <w:lang w:val="sr-Cyrl-RS"/>
              </w:rPr>
            </w:pPr>
            <w:r>
              <w:rPr>
                <w:rFonts w:ascii="Times New Roman" w:eastAsia="Times New Roman" w:hAnsi="Times New Roman" w:cs="Times New Roman"/>
                <w:lang w:val="sr-Cyrl-RS"/>
              </w:rPr>
              <w:t>6</w:t>
            </w:r>
          </w:p>
        </w:tc>
      </w:tr>
      <w:tr w:rsidR="00483FBC" w:rsidRPr="00483FBC" w:rsidTr="00A8404D">
        <w:trPr>
          <w:jc w:val="center"/>
        </w:trPr>
        <w:tc>
          <w:tcPr>
            <w:tcW w:w="260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b/>
              </w:rPr>
            </w:pPr>
            <w:r w:rsidRPr="00302F5A">
              <w:rPr>
                <w:rFonts w:ascii="Times New Roman" w:eastAsia="Times New Roman" w:hAnsi="Times New Roman" w:cs="Times New Roman"/>
                <w:b/>
              </w:rPr>
              <w:t>Култура</w:t>
            </w:r>
          </w:p>
        </w:tc>
        <w:tc>
          <w:tcPr>
            <w:tcW w:w="118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rPr>
            </w:pPr>
            <w:r w:rsidRPr="00302F5A">
              <w:rPr>
                <w:rFonts w:ascii="Times New Roman" w:eastAsia="Times New Roman" w:hAnsi="Times New Roman" w:cs="Times New Roman"/>
              </w:rPr>
              <w:t>11.952</w:t>
            </w:r>
          </w:p>
        </w:tc>
        <w:tc>
          <w:tcPr>
            <w:tcW w:w="2410" w:type="dxa"/>
            <w:shd w:val="clear" w:color="auto" w:fill="auto"/>
            <w:vAlign w:val="center"/>
          </w:tcPr>
          <w:p w:rsidR="00483FBC" w:rsidRPr="00285C22" w:rsidRDefault="00285C22" w:rsidP="00483FBC">
            <w:pPr>
              <w:tabs>
                <w:tab w:val="left" w:pos="1885"/>
              </w:tabs>
              <w:spacing w:after="0" w:line="240" w:lineRule="auto"/>
              <w:jc w:val="center"/>
              <w:rPr>
                <w:rFonts w:ascii="Times New Roman" w:eastAsia="Times New Roman" w:hAnsi="Times New Roman" w:cs="Times New Roman"/>
                <w:lang w:val="sr-Cyrl-RS"/>
              </w:rPr>
            </w:pPr>
            <w:r>
              <w:rPr>
                <w:rFonts w:ascii="Times New Roman" w:eastAsia="Times New Roman" w:hAnsi="Times New Roman" w:cs="Times New Roman"/>
                <w:lang w:val="sr-Cyrl-RS"/>
              </w:rPr>
              <w:t>479.651</w:t>
            </w:r>
          </w:p>
        </w:tc>
        <w:tc>
          <w:tcPr>
            <w:tcW w:w="141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rPr>
            </w:pPr>
            <w:r w:rsidRPr="00302F5A">
              <w:rPr>
                <w:rFonts w:ascii="Times New Roman" w:eastAsia="Times New Roman" w:hAnsi="Times New Roman" w:cs="Times New Roman"/>
              </w:rPr>
              <w:t>9</w:t>
            </w:r>
          </w:p>
        </w:tc>
        <w:tc>
          <w:tcPr>
            <w:tcW w:w="166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rPr>
            </w:pPr>
            <w:r w:rsidRPr="00302F5A">
              <w:rPr>
                <w:rFonts w:ascii="Times New Roman" w:eastAsia="Times New Roman" w:hAnsi="Times New Roman" w:cs="Times New Roman"/>
              </w:rPr>
              <w:t>1</w:t>
            </w:r>
          </w:p>
        </w:tc>
      </w:tr>
      <w:tr w:rsidR="00483FBC" w:rsidRPr="00483FBC" w:rsidTr="00A8404D">
        <w:trPr>
          <w:jc w:val="center"/>
        </w:trPr>
        <w:tc>
          <w:tcPr>
            <w:tcW w:w="260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b/>
              </w:rPr>
            </w:pPr>
            <w:r w:rsidRPr="00302F5A">
              <w:rPr>
                <w:rFonts w:ascii="Times New Roman" w:eastAsia="Times New Roman" w:hAnsi="Times New Roman" w:cs="Times New Roman"/>
                <w:b/>
              </w:rPr>
              <w:t>Просвета и наука</w:t>
            </w:r>
          </w:p>
        </w:tc>
        <w:tc>
          <w:tcPr>
            <w:tcW w:w="1187" w:type="dxa"/>
            <w:shd w:val="clear" w:color="auto" w:fill="auto"/>
            <w:vAlign w:val="center"/>
          </w:tcPr>
          <w:p w:rsidR="00483FBC" w:rsidRPr="00DA30E1" w:rsidRDefault="00483FBC" w:rsidP="00DA30E1">
            <w:pPr>
              <w:tabs>
                <w:tab w:val="left" w:pos="1885"/>
              </w:tabs>
              <w:spacing w:after="0" w:line="240" w:lineRule="auto"/>
              <w:jc w:val="center"/>
              <w:rPr>
                <w:rFonts w:ascii="Times New Roman" w:eastAsia="Times New Roman" w:hAnsi="Times New Roman" w:cs="Times New Roman"/>
                <w:lang w:val="sr-Cyrl-RS"/>
              </w:rPr>
            </w:pPr>
            <w:r w:rsidRPr="00302F5A">
              <w:rPr>
                <w:rFonts w:ascii="Times New Roman" w:eastAsia="Times New Roman" w:hAnsi="Times New Roman" w:cs="Times New Roman"/>
              </w:rPr>
              <w:t>52.</w:t>
            </w:r>
            <w:r w:rsidR="00DA30E1">
              <w:rPr>
                <w:rFonts w:ascii="Times New Roman" w:eastAsia="Times New Roman" w:hAnsi="Times New Roman" w:cs="Times New Roman"/>
                <w:lang w:val="sr-Cyrl-RS"/>
              </w:rPr>
              <w:t>221</w:t>
            </w:r>
          </w:p>
        </w:tc>
        <w:tc>
          <w:tcPr>
            <w:tcW w:w="2410" w:type="dxa"/>
            <w:shd w:val="clear" w:color="auto" w:fill="auto"/>
            <w:vAlign w:val="center"/>
          </w:tcPr>
          <w:p w:rsidR="00483FBC" w:rsidRPr="00285C22" w:rsidRDefault="00285C22" w:rsidP="00483FBC">
            <w:pPr>
              <w:tabs>
                <w:tab w:val="left" w:pos="1885"/>
              </w:tabs>
              <w:spacing w:after="0" w:line="240" w:lineRule="auto"/>
              <w:jc w:val="center"/>
              <w:rPr>
                <w:rFonts w:ascii="Times New Roman" w:eastAsia="Times New Roman" w:hAnsi="Times New Roman" w:cs="Times New Roman"/>
                <w:lang w:val="sr-Cyrl-RS"/>
              </w:rPr>
            </w:pPr>
            <w:r>
              <w:rPr>
                <w:rFonts w:ascii="Times New Roman" w:eastAsia="Times New Roman" w:hAnsi="Times New Roman" w:cs="Times New Roman"/>
                <w:lang w:val="sr-Cyrl-RS"/>
              </w:rPr>
              <w:t>4.518.674</w:t>
            </w:r>
          </w:p>
        </w:tc>
        <w:tc>
          <w:tcPr>
            <w:tcW w:w="141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rPr>
            </w:pPr>
            <w:r w:rsidRPr="00302F5A">
              <w:rPr>
                <w:rFonts w:ascii="Times New Roman" w:eastAsia="Times New Roman" w:hAnsi="Times New Roman" w:cs="Times New Roman"/>
              </w:rPr>
              <w:t>39</w:t>
            </w:r>
          </w:p>
        </w:tc>
        <w:tc>
          <w:tcPr>
            <w:tcW w:w="1667" w:type="dxa"/>
            <w:shd w:val="clear" w:color="auto" w:fill="auto"/>
            <w:vAlign w:val="center"/>
          </w:tcPr>
          <w:p w:rsidR="00483FBC" w:rsidRPr="002200A2" w:rsidRDefault="002200A2" w:rsidP="00483FBC">
            <w:pPr>
              <w:tabs>
                <w:tab w:val="left" w:pos="1885"/>
              </w:tabs>
              <w:spacing w:after="0" w:line="240" w:lineRule="auto"/>
              <w:jc w:val="center"/>
              <w:rPr>
                <w:rFonts w:ascii="Times New Roman" w:eastAsia="Times New Roman" w:hAnsi="Times New Roman" w:cs="Times New Roman"/>
                <w:lang w:val="sr-Cyrl-RS"/>
              </w:rPr>
            </w:pPr>
            <w:r>
              <w:rPr>
                <w:rFonts w:ascii="Times New Roman" w:eastAsia="Times New Roman" w:hAnsi="Times New Roman" w:cs="Times New Roman"/>
                <w:lang w:val="sr-Cyrl-RS"/>
              </w:rPr>
              <w:t>10</w:t>
            </w:r>
          </w:p>
        </w:tc>
      </w:tr>
      <w:tr w:rsidR="00483FBC" w:rsidRPr="00483FBC" w:rsidTr="00A8404D">
        <w:trPr>
          <w:jc w:val="center"/>
        </w:trPr>
        <w:tc>
          <w:tcPr>
            <w:tcW w:w="260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b/>
              </w:rPr>
            </w:pPr>
            <w:r w:rsidRPr="00302F5A">
              <w:rPr>
                <w:rFonts w:ascii="Times New Roman" w:eastAsia="Times New Roman" w:hAnsi="Times New Roman" w:cs="Times New Roman"/>
                <w:b/>
              </w:rPr>
              <w:t>Државна јавна предузећа/привредна друштва</w:t>
            </w:r>
          </w:p>
        </w:tc>
        <w:tc>
          <w:tcPr>
            <w:tcW w:w="118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rPr>
            </w:pPr>
            <w:r w:rsidRPr="00302F5A">
              <w:rPr>
                <w:rFonts w:ascii="Times New Roman" w:eastAsia="Times New Roman" w:hAnsi="Times New Roman" w:cs="Times New Roman"/>
              </w:rPr>
              <w:t>9.142</w:t>
            </w:r>
          </w:p>
        </w:tc>
        <w:tc>
          <w:tcPr>
            <w:tcW w:w="2410"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rPr>
            </w:pPr>
            <w:r w:rsidRPr="00302F5A">
              <w:rPr>
                <w:rFonts w:ascii="Times New Roman" w:eastAsia="Times New Roman" w:hAnsi="Times New Roman" w:cs="Times New Roman"/>
              </w:rPr>
              <w:t>18.071.367</w:t>
            </w:r>
          </w:p>
        </w:tc>
        <w:tc>
          <w:tcPr>
            <w:tcW w:w="141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rPr>
            </w:pPr>
            <w:r w:rsidRPr="00302F5A">
              <w:rPr>
                <w:rFonts w:ascii="Times New Roman" w:eastAsia="Times New Roman" w:hAnsi="Times New Roman" w:cs="Times New Roman"/>
              </w:rPr>
              <w:t>7</w:t>
            </w:r>
          </w:p>
        </w:tc>
        <w:tc>
          <w:tcPr>
            <w:tcW w:w="1667" w:type="dxa"/>
            <w:shd w:val="clear" w:color="auto" w:fill="auto"/>
            <w:vAlign w:val="center"/>
          </w:tcPr>
          <w:p w:rsidR="00483FBC" w:rsidRPr="002200A2" w:rsidRDefault="00483FBC" w:rsidP="002200A2">
            <w:pPr>
              <w:tabs>
                <w:tab w:val="left" w:pos="1885"/>
              </w:tabs>
              <w:spacing w:after="0" w:line="240" w:lineRule="auto"/>
              <w:jc w:val="center"/>
              <w:rPr>
                <w:rFonts w:ascii="Times New Roman" w:eastAsia="Times New Roman" w:hAnsi="Times New Roman" w:cs="Times New Roman"/>
                <w:lang w:val="sr-Cyrl-RS"/>
              </w:rPr>
            </w:pPr>
            <w:r w:rsidRPr="00302F5A">
              <w:rPr>
                <w:rFonts w:ascii="Times New Roman" w:eastAsia="Times New Roman" w:hAnsi="Times New Roman" w:cs="Times New Roman"/>
              </w:rPr>
              <w:t>3</w:t>
            </w:r>
            <w:r w:rsidR="002200A2">
              <w:rPr>
                <w:rFonts w:ascii="Times New Roman" w:eastAsia="Times New Roman" w:hAnsi="Times New Roman" w:cs="Times New Roman"/>
                <w:lang w:val="sr-Cyrl-RS"/>
              </w:rPr>
              <w:t>9</w:t>
            </w:r>
          </w:p>
        </w:tc>
      </w:tr>
      <w:tr w:rsidR="00483FBC" w:rsidRPr="00483FBC" w:rsidTr="00A8404D">
        <w:trPr>
          <w:jc w:val="center"/>
        </w:trPr>
        <w:tc>
          <w:tcPr>
            <w:tcW w:w="260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b/>
              </w:rPr>
            </w:pPr>
            <w:r w:rsidRPr="00302F5A">
              <w:rPr>
                <w:rFonts w:ascii="Times New Roman" w:eastAsia="Times New Roman" w:hAnsi="Times New Roman" w:cs="Times New Roman"/>
                <w:b/>
              </w:rPr>
              <w:t>Јавна предузећа-локална самоуправа</w:t>
            </w:r>
          </w:p>
        </w:tc>
        <w:tc>
          <w:tcPr>
            <w:tcW w:w="118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rPr>
            </w:pPr>
            <w:r w:rsidRPr="00302F5A">
              <w:rPr>
                <w:rFonts w:ascii="Times New Roman" w:eastAsia="Times New Roman" w:hAnsi="Times New Roman" w:cs="Times New Roman"/>
              </w:rPr>
              <w:t>21.977</w:t>
            </w:r>
          </w:p>
        </w:tc>
        <w:tc>
          <w:tcPr>
            <w:tcW w:w="2410" w:type="dxa"/>
            <w:shd w:val="clear" w:color="auto" w:fill="auto"/>
            <w:vAlign w:val="center"/>
          </w:tcPr>
          <w:p w:rsidR="00483FBC" w:rsidRPr="00285C22" w:rsidRDefault="00285C22" w:rsidP="00483FBC">
            <w:pPr>
              <w:tabs>
                <w:tab w:val="left" w:pos="1885"/>
              </w:tabs>
              <w:spacing w:after="0" w:line="240" w:lineRule="auto"/>
              <w:jc w:val="center"/>
              <w:rPr>
                <w:rFonts w:ascii="Times New Roman" w:eastAsia="Times New Roman" w:hAnsi="Times New Roman" w:cs="Times New Roman"/>
                <w:lang w:val="sr-Cyrl-RS"/>
              </w:rPr>
            </w:pPr>
            <w:r>
              <w:rPr>
                <w:rFonts w:ascii="Times New Roman" w:eastAsia="Times New Roman" w:hAnsi="Times New Roman" w:cs="Times New Roman"/>
                <w:lang w:val="sr-Cyrl-RS"/>
              </w:rPr>
              <w:t>8.907.081</w:t>
            </w:r>
          </w:p>
        </w:tc>
        <w:tc>
          <w:tcPr>
            <w:tcW w:w="141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rPr>
            </w:pPr>
            <w:r w:rsidRPr="00302F5A">
              <w:rPr>
                <w:rFonts w:ascii="Times New Roman" w:eastAsia="Times New Roman" w:hAnsi="Times New Roman" w:cs="Times New Roman"/>
              </w:rPr>
              <w:t>17</w:t>
            </w:r>
          </w:p>
        </w:tc>
        <w:tc>
          <w:tcPr>
            <w:tcW w:w="1667" w:type="dxa"/>
            <w:shd w:val="clear" w:color="auto" w:fill="auto"/>
            <w:vAlign w:val="center"/>
          </w:tcPr>
          <w:p w:rsidR="00483FBC" w:rsidRPr="002200A2" w:rsidRDefault="002200A2" w:rsidP="00483FBC">
            <w:pPr>
              <w:tabs>
                <w:tab w:val="left" w:pos="1885"/>
              </w:tabs>
              <w:spacing w:after="0" w:line="240" w:lineRule="auto"/>
              <w:jc w:val="center"/>
              <w:rPr>
                <w:rFonts w:ascii="Times New Roman" w:eastAsia="Times New Roman" w:hAnsi="Times New Roman" w:cs="Times New Roman"/>
                <w:lang w:val="sr-Cyrl-RS"/>
              </w:rPr>
            </w:pPr>
            <w:r>
              <w:rPr>
                <w:rFonts w:ascii="Times New Roman" w:eastAsia="Times New Roman" w:hAnsi="Times New Roman" w:cs="Times New Roman"/>
                <w:lang w:val="sr-Cyrl-RS"/>
              </w:rPr>
              <w:t>19</w:t>
            </w:r>
          </w:p>
        </w:tc>
      </w:tr>
      <w:tr w:rsidR="00483FBC" w:rsidRPr="00483FBC" w:rsidTr="00A8404D">
        <w:trPr>
          <w:jc w:val="center"/>
        </w:trPr>
        <w:tc>
          <w:tcPr>
            <w:tcW w:w="260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b/>
              </w:rPr>
            </w:pPr>
            <w:r w:rsidRPr="00302F5A">
              <w:rPr>
                <w:rFonts w:ascii="Times New Roman" w:eastAsia="Times New Roman" w:hAnsi="Times New Roman" w:cs="Times New Roman"/>
                <w:b/>
              </w:rPr>
              <w:t>Градска и општинска управа</w:t>
            </w:r>
          </w:p>
        </w:tc>
        <w:tc>
          <w:tcPr>
            <w:tcW w:w="118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rPr>
            </w:pPr>
            <w:r w:rsidRPr="00302F5A">
              <w:rPr>
                <w:rFonts w:ascii="Times New Roman" w:eastAsia="Times New Roman" w:hAnsi="Times New Roman" w:cs="Times New Roman"/>
              </w:rPr>
              <w:t>12.374</w:t>
            </w:r>
          </w:p>
        </w:tc>
        <w:tc>
          <w:tcPr>
            <w:tcW w:w="2410" w:type="dxa"/>
            <w:shd w:val="clear" w:color="auto" w:fill="auto"/>
            <w:vAlign w:val="center"/>
          </w:tcPr>
          <w:p w:rsidR="00483FBC" w:rsidRPr="00285C22" w:rsidRDefault="00483FBC" w:rsidP="00285C22">
            <w:pPr>
              <w:tabs>
                <w:tab w:val="left" w:pos="1885"/>
              </w:tabs>
              <w:spacing w:after="0" w:line="240" w:lineRule="auto"/>
              <w:jc w:val="center"/>
              <w:rPr>
                <w:rFonts w:ascii="Times New Roman" w:eastAsia="Times New Roman" w:hAnsi="Times New Roman" w:cs="Times New Roman"/>
                <w:lang w:val="sr-Cyrl-RS"/>
              </w:rPr>
            </w:pPr>
            <w:r w:rsidRPr="00302F5A">
              <w:rPr>
                <w:rFonts w:ascii="Times New Roman" w:eastAsia="Times New Roman" w:hAnsi="Times New Roman" w:cs="Times New Roman"/>
              </w:rPr>
              <w:t>10.</w:t>
            </w:r>
            <w:r w:rsidR="00285C22">
              <w:rPr>
                <w:rFonts w:ascii="Times New Roman" w:eastAsia="Times New Roman" w:hAnsi="Times New Roman" w:cs="Times New Roman"/>
                <w:lang w:val="sr-Cyrl-RS"/>
              </w:rPr>
              <w:t>020.404</w:t>
            </w:r>
          </w:p>
        </w:tc>
        <w:tc>
          <w:tcPr>
            <w:tcW w:w="141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rPr>
            </w:pPr>
            <w:r w:rsidRPr="00302F5A">
              <w:rPr>
                <w:rFonts w:ascii="Times New Roman" w:eastAsia="Times New Roman" w:hAnsi="Times New Roman" w:cs="Times New Roman"/>
              </w:rPr>
              <w:t>9</w:t>
            </w:r>
          </w:p>
        </w:tc>
        <w:tc>
          <w:tcPr>
            <w:tcW w:w="1667" w:type="dxa"/>
            <w:shd w:val="clear" w:color="auto" w:fill="auto"/>
            <w:vAlign w:val="center"/>
          </w:tcPr>
          <w:p w:rsidR="00483FBC" w:rsidRPr="002200A2" w:rsidRDefault="002200A2" w:rsidP="00483FBC">
            <w:pPr>
              <w:tabs>
                <w:tab w:val="left" w:pos="1885"/>
              </w:tabs>
              <w:spacing w:after="0" w:line="240" w:lineRule="auto"/>
              <w:jc w:val="center"/>
              <w:rPr>
                <w:rFonts w:ascii="Times New Roman" w:eastAsia="Times New Roman" w:hAnsi="Times New Roman" w:cs="Times New Roman"/>
                <w:lang w:val="sr-Cyrl-RS"/>
              </w:rPr>
            </w:pPr>
            <w:r>
              <w:rPr>
                <w:rFonts w:ascii="Times New Roman" w:eastAsia="Times New Roman" w:hAnsi="Times New Roman" w:cs="Times New Roman"/>
                <w:lang w:val="sr-Cyrl-RS"/>
              </w:rPr>
              <w:t>22</w:t>
            </w:r>
          </w:p>
        </w:tc>
      </w:tr>
      <w:tr w:rsidR="00483FBC" w:rsidRPr="00483FBC" w:rsidTr="00A8404D">
        <w:trPr>
          <w:jc w:val="center"/>
        </w:trPr>
        <w:tc>
          <w:tcPr>
            <w:tcW w:w="260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b/>
              </w:rPr>
            </w:pPr>
            <w:r w:rsidRPr="00302F5A">
              <w:rPr>
                <w:rFonts w:ascii="Times New Roman" w:eastAsia="Times New Roman" w:hAnsi="Times New Roman" w:cs="Times New Roman"/>
                <w:b/>
              </w:rPr>
              <w:t>Удружења</w:t>
            </w:r>
          </w:p>
        </w:tc>
        <w:tc>
          <w:tcPr>
            <w:tcW w:w="118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rPr>
            </w:pPr>
            <w:r w:rsidRPr="00302F5A">
              <w:rPr>
                <w:rFonts w:ascii="Times New Roman" w:eastAsia="Times New Roman" w:hAnsi="Times New Roman" w:cs="Times New Roman"/>
              </w:rPr>
              <w:t>1.620</w:t>
            </w:r>
          </w:p>
        </w:tc>
        <w:tc>
          <w:tcPr>
            <w:tcW w:w="2410"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rPr>
            </w:pPr>
            <w:r w:rsidRPr="00302F5A">
              <w:rPr>
                <w:rFonts w:ascii="Times New Roman" w:eastAsia="Times New Roman" w:hAnsi="Times New Roman" w:cs="Times New Roman"/>
              </w:rPr>
              <w:t>69.333</w:t>
            </w:r>
          </w:p>
        </w:tc>
        <w:tc>
          <w:tcPr>
            <w:tcW w:w="141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rPr>
            </w:pPr>
            <w:r w:rsidRPr="00302F5A">
              <w:rPr>
                <w:rFonts w:ascii="Times New Roman" w:eastAsia="Times New Roman" w:hAnsi="Times New Roman" w:cs="Times New Roman"/>
              </w:rPr>
              <w:t>1</w:t>
            </w:r>
          </w:p>
        </w:tc>
        <w:tc>
          <w:tcPr>
            <w:tcW w:w="166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rPr>
            </w:pPr>
            <w:r w:rsidRPr="00302F5A">
              <w:rPr>
                <w:rFonts w:ascii="Times New Roman" w:eastAsia="Times New Roman" w:hAnsi="Times New Roman" w:cs="Times New Roman"/>
              </w:rPr>
              <w:t>0</w:t>
            </w:r>
          </w:p>
        </w:tc>
      </w:tr>
      <w:tr w:rsidR="00483FBC" w:rsidRPr="00483FBC" w:rsidTr="00A8404D">
        <w:trPr>
          <w:jc w:val="center"/>
        </w:trPr>
        <w:tc>
          <w:tcPr>
            <w:tcW w:w="260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b/>
              </w:rPr>
            </w:pPr>
            <w:r w:rsidRPr="00302F5A">
              <w:rPr>
                <w:rFonts w:ascii="Times New Roman" w:eastAsia="Times New Roman" w:hAnsi="Times New Roman" w:cs="Times New Roman"/>
                <w:b/>
              </w:rPr>
              <w:t>Фондације и задужбине</w:t>
            </w:r>
          </w:p>
        </w:tc>
        <w:tc>
          <w:tcPr>
            <w:tcW w:w="118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rPr>
            </w:pPr>
            <w:r w:rsidRPr="00302F5A">
              <w:rPr>
                <w:rFonts w:ascii="Times New Roman" w:eastAsia="Times New Roman" w:hAnsi="Times New Roman" w:cs="Times New Roman"/>
              </w:rPr>
              <w:t>53</w:t>
            </w:r>
          </w:p>
        </w:tc>
        <w:tc>
          <w:tcPr>
            <w:tcW w:w="2410"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rPr>
            </w:pPr>
            <w:r w:rsidRPr="00302F5A">
              <w:rPr>
                <w:rFonts w:ascii="Times New Roman" w:eastAsia="Times New Roman" w:hAnsi="Times New Roman" w:cs="Times New Roman"/>
              </w:rPr>
              <w:t>4.159</w:t>
            </w:r>
          </w:p>
        </w:tc>
        <w:tc>
          <w:tcPr>
            <w:tcW w:w="141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rPr>
            </w:pPr>
            <w:r w:rsidRPr="00302F5A">
              <w:rPr>
                <w:rFonts w:ascii="Times New Roman" w:eastAsia="Times New Roman" w:hAnsi="Times New Roman" w:cs="Times New Roman"/>
              </w:rPr>
              <w:t>0</w:t>
            </w:r>
          </w:p>
        </w:tc>
        <w:tc>
          <w:tcPr>
            <w:tcW w:w="1667" w:type="dxa"/>
            <w:shd w:val="clear" w:color="auto" w:fill="auto"/>
            <w:vAlign w:val="center"/>
          </w:tcPr>
          <w:p w:rsidR="00483FBC" w:rsidRPr="00302F5A" w:rsidRDefault="00483FBC" w:rsidP="00483FBC">
            <w:pPr>
              <w:tabs>
                <w:tab w:val="left" w:pos="1885"/>
              </w:tabs>
              <w:spacing w:after="0" w:line="240" w:lineRule="auto"/>
              <w:jc w:val="center"/>
              <w:rPr>
                <w:rFonts w:ascii="Times New Roman" w:eastAsia="Times New Roman" w:hAnsi="Times New Roman" w:cs="Times New Roman"/>
              </w:rPr>
            </w:pPr>
            <w:r w:rsidRPr="00302F5A">
              <w:rPr>
                <w:rFonts w:ascii="Times New Roman" w:eastAsia="Times New Roman" w:hAnsi="Times New Roman" w:cs="Times New Roman"/>
              </w:rPr>
              <w:t>0</w:t>
            </w:r>
          </w:p>
        </w:tc>
      </w:tr>
      <w:tr w:rsidR="00483FBC" w:rsidRPr="00E5224C" w:rsidTr="00A8404D">
        <w:trPr>
          <w:jc w:val="center"/>
        </w:trPr>
        <w:tc>
          <w:tcPr>
            <w:tcW w:w="2607" w:type="dxa"/>
            <w:shd w:val="clear" w:color="auto" w:fill="auto"/>
            <w:vAlign w:val="center"/>
          </w:tcPr>
          <w:p w:rsidR="00483FBC" w:rsidRPr="00E5224C" w:rsidRDefault="00483FBC" w:rsidP="00483FBC">
            <w:pPr>
              <w:tabs>
                <w:tab w:val="left" w:pos="1885"/>
              </w:tabs>
              <w:spacing w:after="0" w:line="240" w:lineRule="auto"/>
              <w:jc w:val="center"/>
              <w:rPr>
                <w:rFonts w:ascii="Times New Roman" w:eastAsia="Times New Roman" w:hAnsi="Times New Roman" w:cs="Times New Roman"/>
                <w:b/>
              </w:rPr>
            </w:pPr>
            <w:r w:rsidRPr="00E5224C">
              <w:rPr>
                <w:rFonts w:ascii="Times New Roman" w:eastAsia="Times New Roman" w:hAnsi="Times New Roman" w:cs="Times New Roman"/>
                <w:b/>
              </w:rPr>
              <w:t>Укупно</w:t>
            </w:r>
          </w:p>
        </w:tc>
        <w:tc>
          <w:tcPr>
            <w:tcW w:w="1187" w:type="dxa"/>
            <w:shd w:val="clear" w:color="auto" w:fill="auto"/>
            <w:vAlign w:val="center"/>
          </w:tcPr>
          <w:p w:rsidR="00483FBC" w:rsidRPr="00E5224C" w:rsidRDefault="00483FBC" w:rsidP="00DA30E1">
            <w:pPr>
              <w:tabs>
                <w:tab w:val="left" w:pos="1885"/>
              </w:tabs>
              <w:spacing w:after="0" w:line="240" w:lineRule="auto"/>
              <w:jc w:val="center"/>
              <w:rPr>
                <w:rFonts w:ascii="Times New Roman" w:eastAsia="Times New Roman" w:hAnsi="Times New Roman" w:cs="Times New Roman"/>
                <w:b/>
                <w:lang w:val="sr-Cyrl-RS"/>
              </w:rPr>
            </w:pPr>
            <w:r w:rsidRPr="00E5224C">
              <w:rPr>
                <w:rFonts w:ascii="Times New Roman" w:eastAsia="Times New Roman" w:hAnsi="Times New Roman" w:cs="Times New Roman"/>
                <w:b/>
              </w:rPr>
              <w:t>133.1</w:t>
            </w:r>
            <w:r w:rsidR="00DA30E1" w:rsidRPr="00E5224C">
              <w:rPr>
                <w:rFonts w:ascii="Times New Roman" w:eastAsia="Times New Roman" w:hAnsi="Times New Roman" w:cs="Times New Roman"/>
                <w:b/>
                <w:lang w:val="sr-Cyrl-RS"/>
              </w:rPr>
              <w:t>64</w:t>
            </w:r>
          </w:p>
        </w:tc>
        <w:tc>
          <w:tcPr>
            <w:tcW w:w="2410" w:type="dxa"/>
            <w:shd w:val="clear" w:color="auto" w:fill="auto"/>
            <w:vAlign w:val="center"/>
          </w:tcPr>
          <w:p w:rsidR="00483FBC" w:rsidRPr="00E5224C" w:rsidRDefault="00285C22" w:rsidP="00483FBC">
            <w:pPr>
              <w:tabs>
                <w:tab w:val="left" w:pos="1885"/>
              </w:tabs>
              <w:spacing w:after="0" w:line="240" w:lineRule="auto"/>
              <w:jc w:val="center"/>
              <w:rPr>
                <w:rFonts w:ascii="Times New Roman" w:eastAsia="Times New Roman" w:hAnsi="Times New Roman" w:cs="Times New Roman"/>
                <w:b/>
                <w:lang w:val="sr-Cyrl-RS"/>
              </w:rPr>
            </w:pPr>
            <w:r w:rsidRPr="00E5224C">
              <w:rPr>
                <w:rFonts w:ascii="Times New Roman" w:eastAsia="Times New Roman" w:hAnsi="Times New Roman" w:cs="Times New Roman"/>
                <w:b/>
                <w:lang w:val="sr-Cyrl-RS"/>
              </w:rPr>
              <w:t>46.210.236</w:t>
            </w:r>
          </w:p>
        </w:tc>
        <w:tc>
          <w:tcPr>
            <w:tcW w:w="1417" w:type="dxa"/>
            <w:shd w:val="clear" w:color="auto" w:fill="auto"/>
            <w:vAlign w:val="center"/>
          </w:tcPr>
          <w:p w:rsidR="00483FBC" w:rsidRPr="00E5224C" w:rsidRDefault="00483FBC" w:rsidP="00483FBC">
            <w:pPr>
              <w:tabs>
                <w:tab w:val="left" w:pos="1885"/>
              </w:tabs>
              <w:spacing w:after="0" w:line="240" w:lineRule="auto"/>
              <w:jc w:val="center"/>
              <w:rPr>
                <w:rFonts w:ascii="Times New Roman" w:eastAsia="Times New Roman" w:hAnsi="Times New Roman" w:cs="Times New Roman"/>
                <w:b/>
              </w:rPr>
            </w:pPr>
            <w:r w:rsidRPr="00E5224C">
              <w:rPr>
                <w:rFonts w:ascii="Times New Roman" w:eastAsia="Times New Roman" w:hAnsi="Times New Roman" w:cs="Times New Roman"/>
                <w:b/>
              </w:rPr>
              <w:t>100</w:t>
            </w:r>
          </w:p>
        </w:tc>
        <w:tc>
          <w:tcPr>
            <w:tcW w:w="1667" w:type="dxa"/>
            <w:shd w:val="clear" w:color="auto" w:fill="auto"/>
            <w:vAlign w:val="center"/>
          </w:tcPr>
          <w:p w:rsidR="00483FBC" w:rsidRPr="00E5224C" w:rsidRDefault="00483FBC" w:rsidP="00483FBC">
            <w:pPr>
              <w:tabs>
                <w:tab w:val="left" w:pos="1885"/>
              </w:tabs>
              <w:spacing w:after="0" w:line="240" w:lineRule="auto"/>
              <w:jc w:val="center"/>
              <w:rPr>
                <w:rFonts w:ascii="Times New Roman" w:eastAsia="Times New Roman" w:hAnsi="Times New Roman" w:cs="Times New Roman"/>
                <w:b/>
              </w:rPr>
            </w:pPr>
            <w:r w:rsidRPr="00E5224C">
              <w:rPr>
                <w:rFonts w:ascii="Times New Roman" w:eastAsia="Times New Roman" w:hAnsi="Times New Roman" w:cs="Times New Roman"/>
                <w:b/>
              </w:rPr>
              <w:t>100</w:t>
            </w:r>
          </w:p>
        </w:tc>
      </w:tr>
    </w:tbl>
    <w:p w:rsidR="00BB0B9A" w:rsidRPr="00E5224C" w:rsidRDefault="00BB0B9A" w:rsidP="00BB0B9A">
      <w:pPr>
        <w:rPr>
          <w:rFonts w:ascii="Times New Roman" w:hAnsi="Times New Roman" w:cs="Times New Roman"/>
          <w:b/>
          <w:sz w:val="24"/>
          <w:szCs w:val="24"/>
        </w:rPr>
      </w:pPr>
    </w:p>
    <w:p w:rsidR="00DA4317" w:rsidRDefault="00DA4317" w:rsidP="00DA30E1">
      <w:pPr>
        <w:jc w:val="both"/>
        <w:rPr>
          <w:rFonts w:ascii="Times New Roman" w:hAnsi="Times New Roman" w:cs="Times New Roman"/>
          <w:sz w:val="24"/>
          <w:szCs w:val="24"/>
          <w:lang w:val="sr-Cyrl-CS"/>
        </w:rPr>
      </w:pPr>
      <w:r w:rsidRPr="00546E57">
        <w:rPr>
          <w:rFonts w:ascii="Times New Roman" w:hAnsi="Times New Roman" w:cs="Times New Roman"/>
          <w:sz w:val="24"/>
          <w:szCs w:val="24"/>
        </w:rPr>
        <w:t>Јав</w:t>
      </w:r>
      <w:r w:rsidR="0060326C" w:rsidRPr="00546E57">
        <w:rPr>
          <w:rFonts w:ascii="Times New Roman" w:hAnsi="Times New Roman" w:cs="Times New Roman"/>
          <w:sz w:val="24"/>
          <w:szCs w:val="24"/>
        </w:rPr>
        <w:t>на предузећа су 8</w:t>
      </w:r>
      <w:r w:rsidR="00C12C3B" w:rsidRPr="00546E57">
        <w:rPr>
          <w:rFonts w:ascii="Times New Roman" w:hAnsi="Times New Roman" w:cs="Times New Roman"/>
          <w:sz w:val="24"/>
          <w:szCs w:val="24"/>
        </w:rPr>
        <w:t>2</w:t>
      </w:r>
      <w:r w:rsidRPr="00546E57">
        <w:rPr>
          <w:rFonts w:ascii="Times New Roman" w:hAnsi="Times New Roman" w:cs="Times New Roman"/>
          <w:sz w:val="24"/>
          <w:szCs w:val="24"/>
        </w:rPr>
        <w:t xml:space="preserve">% ових набавки спровела по </w:t>
      </w:r>
      <w:r w:rsidR="00C12C3B" w:rsidRPr="00546E57">
        <w:rPr>
          <w:rFonts w:ascii="Times New Roman" w:hAnsi="Times New Roman" w:cs="Times New Roman"/>
          <w:sz w:val="24"/>
          <w:szCs w:val="24"/>
        </w:rPr>
        <w:t>че</w:t>
      </w:r>
      <w:r w:rsidRPr="00546E57">
        <w:rPr>
          <w:rFonts w:ascii="Times New Roman" w:hAnsi="Times New Roman" w:cs="Times New Roman"/>
          <w:sz w:val="24"/>
          <w:szCs w:val="24"/>
        </w:rPr>
        <w:t>т</w:t>
      </w:r>
      <w:r w:rsidR="00C12C3B" w:rsidRPr="00546E57">
        <w:rPr>
          <w:rFonts w:ascii="Times New Roman" w:hAnsi="Times New Roman" w:cs="Times New Roman"/>
          <w:sz w:val="24"/>
          <w:szCs w:val="24"/>
        </w:rPr>
        <w:t>и</w:t>
      </w:r>
      <w:r w:rsidRPr="00546E57">
        <w:rPr>
          <w:rFonts w:ascii="Times New Roman" w:hAnsi="Times New Roman" w:cs="Times New Roman"/>
          <w:sz w:val="24"/>
          <w:szCs w:val="24"/>
        </w:rPr>
        <w:t xml:space="preserve">ри основа: </w:t>
      </w:r>
      <w:r w:rsidR="00221A36" w:rsidRPr="00546E57">
        <w:rPr>
          <w:rFonts w:ascii="Times New Roman" w:hAnsi="Times New Roman" w:cs="Times New Roman"/>
          <w:sz w:val="24"/>
          <w:szCs w:val="24"/>
        </w:rPr>
        <w:t>1</w:t>
      </w:r>
      <w:r w:rsidRPr="00546E57">
        <w:rPr>
          <w:rFonts w:ascii="Times New Roman" w:hAnsi="Times New Roman" w:cs="Times New Roman"/>
          <w:sz w:val="24"/>
          <w:szCs w:val="24"/>
        </w:rPr>
        <w:t>)</w:t>
      </w:r>
      <w:r w:rsidR="00C12C3B" w:rsidRPr="00546E57">
        <w:rPr>
          <w:rFonts w:ascii="Times New Roman" w:hAnsi="Times New Roman" w:cs="Times New Roman"/>
          <w:sz w:val="24"/>
          <w:szCs w:val="24"/>
        </w:rPr>
        <w:t xml:space="preserve"> где је искључива и непосредна намена обављање делатности електронских комуникација и продаја електронских комуникационих услуга у смислу закона којим се уређују електронске комуникације, под условом да други привредни субјекти пружају те услуге на релевантном тржишту (49%),</w:t>
      </w:r>
      <w:r w:rsidR="00302F5A">
        <w:rPr>
          <w:rFonts w:ascii="Times New Roman" w:hAnsi="Times New Roman" w:cs="Times New Roman"/>
          <w:sz w:val="24"/>
          <w:szCs w:val="24"/>
          <w:lang w:val="sr-Cyrl-RS"/>
        </w:rPr>
        <w:t xml:space="preserve"> </w:t>
      </w:r>
      <w:r w:rsidR="00C12C3B" w:rsidRPr="00546E57">
        <w:rPr>
          <w:rFonts w:ascii="Times New Roman" w:hAnsi="Times New Roman" w:cs="Times New Roman"/>
          <w:sz w:val="24"/>
          <w:szCs w:val="24"/>
        </w:rPr>
        <w:t xml:space="preserve">2) </w:t>
      </w:r>
      <w:r w:rsidRPr="00546E57">
        <w:rPr>
          <w:rFonts w:ascii="Times New Roman" w:hAnsi="Times New Roman" w:cs="Times New Roman"/>
          <w:sz w:val="24"/>
          <w:szCs w:val="24"/>
        </w:rPr>
        <w:t>код финансирања из средстава страних кредита (зајмова) добијених од међународних организација и међународних финансијских институција у складу са ус</w:t>
      </w:r>
      <w:r w:rsidR="00C12C3B" w:rsidRPr="00546E57">
        <w:rPr>
          <w:rFonts w:ascii="Times New Roman" w:hAnsi="Times New Roman" w:cs="Times New Roman"/>
          <w:sz w:val="24"/>
          <w:szCs w:val="24"/>
        </w:rPr>
        <w:t>ловима из међународног уговора,</w:t>
      </w:r>
      <w:r w:rsidR="002B761F">
        <w:rPr>
          <w:rFonts w:ascii="Times New Roman" w:hAnsi="Times New Roman" w:cs="Times New Roman"/>
          <w:sz w:val="24"/>
          <w:szCs w:val="24"/>
          <w:lang w:val="sr-Cyrl-RS"/>
        </w:rPr>
        <w:t xml:space="preserve"> </w:t>
      </w:r>
      <w:r w:rsidRPr="00546E57">
        <w:rPr>
          <w:rFonts w:ascii="Times New Roman" w:hAnsi="Times New Roman" w:cs="Times New Roman"/>
          <w:sz w:val="24"/>
          <w:szCs w:val="24"/>
        </w:rPr>
        <w:t>односно посебним поступцима међународних организациј</w:t>
      </w:r>
      <w:r w:rsidR="00EB6DB3" w:rsidRPr="00546E57">
        <w:rPr>
          <w:rFonts w:ascii="Times New Roman" w:hAnsi="Times New Roman" w:cs="Times New Roman"/>
          <w:sz w:val="24"/>
          <w:szCs w:val="24"/>
        </w:rPr>
        <w:t>а и финансијских институција (</w:t>
      </w:r>
      <w:r w:rsidR="00C12C3B" w:rsidRPr="00546E57">
        <w:rPr>
          <w:rFonts w:ascii="Times New Roman" w:hAnsi="Times New Roman" w:cs="Times New Roman"/>
          <w:sz w:val="24"/>
          <w:szCs w:val="24"/>
        </w:rPr>
        <w:t>21</w:t>
      </w:r>
      <w:r w:rsidRPr="00546E57">
        <w:rPr>
          <w:rFonts w:ascii="Times New Roman" w:hAnsi="Times New Roman" w:cs="Times New Roman"/>
          <w:sz w:val="24"/>
          <w:szCs w:val="24"/>
        </w:rPr>
        <w:t>%</w:t>
      </w:r>
      <w:r w:rsidR="00C12C3B" w:rsidRPr="00546E57">
        <w:rPr>
          <w:rFonts w:ascii="Times New Roman" w:hAnsi="Times New Roman" w:cs="Times New Roman"/>
          <w:sz w:val="24"/>
          <w:szCs w:val="24"/>
        </w:rPr>
        <w:t>), 3) ради обезбеђивања основних животних услова у случајевима елементарних непогода (6%) 4</w:t>
      </w:r>
      <w:r w:rsidRPr="00546E57">
        <w:rPr>
          <w:rFonts w:ascii="Times New Roman" w:hAnsi="Times New Roman" w:cs="Times New Roman"/>
          <w:sz w:val="24"/>
          <w:szCs w:val="24"/>
        </w:rPr>
        <w:t>)</w:t>
      </w:r>
      <w:r w:rsidR="00C12C3B" w:rsidRPr="00546E57">
        <w:rPr>
          <w:rFonts w:ascii="Times New Roman" w:hAnsi="Times New Roman" w:cs="Times New Roman"/>
          <w:sz w:val="24"/>
          <w:szCs w:val="24"/>
        </w:rPr>
        <w:t xml:space="preserve"> набавке добара и услуга које наручилац набавља ради даље продаје, ради прераде и продаје, као и ради пружања услуга или извођења радова на тржишту под условом да наручилац нема искључива и посебна права (</w:t>
      </w:r>
      <w:r w:rsidR="009B28CC" w:rsidRPr="00546E57">
        <w:rPr>
          <w:rFonts w:ascii="Times New Roman" w:hAnsi="Times New Roman" w:cs="Times New Roman"/>
          <w:sz w:val="24"/>
          <w:szCs w:val="24"/>
        </w:rPr>
        <w:t>6%). У првом</w:t>
      </w:r>
      <w:r w:rsidRPr="00546E57">
        <w:rPr>
          <w:rFonts w:ascii="Times New Roman" w:hAnsi="Times New Roman" w:cs="Times New Roman"/>
          <w:sz w:val="24"/>
          <w:szCs w:val="24"/>
        </w:rPr>
        <w:t xml:space="preserve"> случају конкретно </w:t>
      </w:r>
      <w:r w:rsidR="00CF1F3D" w:rsidRPr="00546E57">
        <w:rPr>
          <w:rFonts w:ascii="Times New Roman" w:hAnsi="Times New Roman" w:cs="Times New Roman"/>
          <w:sz w:val="24"/>
          <w:szCs w:val="24"/>
        </w:rPr>
        <w:t>је реч</w:t>
      </w:r>
      <w:r w:rsidRPr="00546E57">
        <w:rPr>
          <w:rFonts w:ascii="Times New Roman" w:hAnsi="Times New Roman" w:cs="Times New Roman"/>
          <w:sz w:val="24"/>
          <w:szCs w:val="24"/>
        </w:rPr>
        <w:t xml:space="preserve"> о набавкама које је спроводио „Телеком“, а у циљу пружања комуникационих услуга на тржишту на коме постоји конкуренција.  Остали изузеци од при</w:t>
      </w:r>
      <w:r>
        <w:rPr>
          <w:rFonts w:ascii="Times New Roman" w:hAnsi="Times New Roman" w:cs="Times New Roman"/>
          <w:sz w:val="24"/>
          <w:szCs w:val="24"/>
        </w:rPr>
        <w:t xml:space="preserve">мене </w:t>
      </w:r>
      <w:r w:rsidR="000C5B8C">
        <w:rPr>
          <w:rFonts w:ascii="Times New Roman" w:hAnsi="Times New Roman" w:cs="Times New Roman"/>
          <w:sz w:val="24"/>
          <w:szCs w:val="24"/>
          <w:lang w:val="sr-Cyrl-RS"/>
        </w:rPr>
        <w:t>Закона</w:t>
      </w:r>
      <w:r>
        <w:rPr>
          <w:rFonts w:ascii="Times New Roman" w:hAnsi="Times New Roman" w:cs="Times New Roman"/>
          <w:sz w:val="24"/>
          <w:szCs w:val="24"/>
        </w:rPr>
        <w:t>, појединачно узев, имали су минимално учешће.</w:t>
      </w:r>
    </w:p>
    <w:p w:rsidR="00BF3283" w:rsidRDefault="00BF3283" w:rsidP="00DA4317">
      <w:pPr>
        <w:jc w:val="both"/>
        <w:rPr>
          <w:rFonts w:ascii="Times New Roman" w:hAnsi="Times New Roman" w:cs="Times New Roman"/>
          <w:sz w:val="24"/>
          <w:szCs w:val="24"/>
          <w:lang w:val="sr-Cyrl-CS"/>
        </w:rPr>
      </w:pPr>
    </w:p>
    <w:p w:rsidR="00BF3283" w:rsidRDefault="00BF3283" w:rsidP="00DA4317">
      <w:pPr>
        <w:jc w:val="both"/>
        <w:rPr>
          <w:rFonts w:ascii="Times New Roman" w:hAnsi="Times New Roman" w:cs="Times New Roman"/>
          <w:sz w:val="24"/>
          <w:szCs w:val="24"/>
          <w:lang w:val="sr-Cyrl-CS"/>
        </w:rPr>
      </w:pPr>
    </w:p>
    <w:p w:rsidR="00BF3283" w:rsidRPr="00BF3283" w:rsidRDefault="00BF3283" w:rsidP="00DA4317">
      <w:pPr>
        <w:jc w:val="both"/>
        <w:rPr>
          <w:rFonts w:ascii="Times New Roman" w:hAnsi="Times New Roman" w:cs="Times New Roman"/>
          <w:sz w:val="24"/>
          <w:szCs w:val="24"/>
          <w:lang w:val="sr-Cyrl-CS"/>
        </w:rPr>
      </w:pPr>
    </w:p>
    <w:p w:rsidR="00BF3283" w:rsidRPr="00BF3283" w:rsidRDefault="00BF3283" w:rsidP="00BF3283">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lang w:val="sr-Cyrl-CS"/>
        </w:rPr>
        <w:lastRenderedPageBreak/>
        <w:t>АКТИВНОСТИ УПРАВЕ</w:t>
      </w:r>
      <w:r w:rsidR="00435174">
        <w:rPr>
          <w:rFonts w:ascii="Times New Roman" w:hAnsi="Times New Roman" w:cs="Times New Roman"/>
          <w:b/>
          <w:sz w:val="24"/>
          <w:szCs w:val="24"/>
          <w:lang w:val="sr-Cyrl-CS"/>
        </w:rPr>
        <w:t xml:space="preserve"> </w:t>
      </w:r>
    </w:p>
    <w:p w:rsidR="00BF3283" w:rsidRPr="000C357C" w:rsidRDefault="00BF3283" w:rsidP="00BF3283">
      <w:pPr>
        <w:jc w:val="both"/>
        <w:rPr>
          <w:rFonts w:ascii="Times New Roman" w:hAnsi="Times New Roman"/>
          <w:b/>
          <w:sz w:val="24"/>
          <w:szCs w:val="24"/>
        </w:rPr>
      </w:pPr>
      <w:r w:rsidRPr="000C357C">
        <w:rPr>
          <w:rFonts w:ascii="Times New Roman" w:hAnsi="Times New Roman"/>
          <w:b/>
          <w:sz w:val="24"/>
          <w:szCs w:val="24"/>
        </w:rPr>
        <w:t xml:space="preserve">Процес придруживања ЕУ </w:t>
      </w:r>
    </w:p>
    <w:p w:rsidR="00BF3283" w:rsidRDefault="00BF3283" w:rsidP="00BF3283">
      <w:pPr>
        <w:jc w:val="both"/>
        <w:rPr>
          <w:rFonts w:ascii="Times New Roman" w:hAnsi="Times New Roman"/>
          <w:sz w:val="24"/>
          <w:szCs w:val="24"/>
        </w:rPr>
      </w:pPr>
      <w:r>
        <w:rPr>
          <w:rFonts w:ascii="Times New Roman" w:hAnsi="Times New Roman"/>
          <w:sz w:val="24"/>
          <w:szCs w:val="24"/>
        </w:rPr>
        <w:t>У првом полугодишту 2014. године, започет је процес преговора у оквиру поглавља 5, јавне набавке. Припреме за преговоре почеле су формирањем Преговарачке групе за поглавље 5</w:t>
      </w:r>
      <w:r>
        <w:rPr>
          <w:rFonts w:ascii="Times New Roman" w:hAnsi="Times New Roman"/>
          <w:sz w:val="24"/>
          <w:szCs w:val="24"/>
          <w:lang w:val="sr-Cyrl-RS"/>
        </w:rPr>
        <w:t>,</w:t>
      </w:r>
      <w:r>
        <w:rPr>
          <w:rFonts w:ascii="Times New Roman" w:hAnsi="Times New Roman"/>
          <w:sz w:val="24"/>
          <w:szCs w:val="24"/>
        </w:rPr>
        <w:t xml:space="preserve"> одлуком Владе </w:t>
      </w:r>
      <w:r>
        <w:rPr>
          <w:rFonts w:ascii="Times New Roman" w:hAnsi="Times New Roman"/>
          <w:sz w:val="24"/>
          <w:szCs w:val="24"/>
          <w:lang w:val="sr-Cyrl-RS"/>
        </w:rPr>
        <w:t>од 23. 9. 2013</w:t>
      </w:r>
      <w:r>
        <w:rPr>
          <w:rFonts w:ascii="Times New Roman" w:hAnsi="Times New Roman"/>
          <w:sz w:val="24"/>
          <w:szCs w:val="24"/>
        </w:rPr>
        <w:t>.</w:t>
      </w:r>
      <w:r>
        <w:rPr>
          <w:rFonts w:ascii="Times New Roman" w:hAnsi="Times New Roman"/>
          <w:sz w:val="24"/>
          <w:szCs w:val="24"/>
          <w:lang w:val="sr-Cyrl-RS"/>
        </w:rPr>
        <w:t xml:space="preserve"> године којом је оформљено Координационо тело за процес приступања Републике Србије ЕУ.</w:t>
      </w:r>
      <w:r>
        <w:rPr>
          <w:rFonts w:ascii="Times New Roman" w:hAnsi="Times New Roman"/>
          <w:sz w:val="24"/>
          <w:szCs w:val="24"/>
        </w:rPr>
        <w:t xml:space="preserve"> Експл</w:t>
      </w:r>
      <w:r>
        <w:rPr>
          <w:rFonts w:ascii="Times New Roman" w:hAnsi="Times New Roman"/>
          <w:sz w:val="24"/>
          <w:szCs w:val="24"/>
          <w:lang w:val="sr-Cyrl-RS"/>
        </w:rPr>
        <w:t>а</w:t>
      </w:r>
      <w:r>
        <w:rPr>
          <w:rFonts w:ascii="Times New Roman" w:hAnsi="Times New Roman"/>
          <w:sz w:val="24"/>
          <w:szCs w:val="24"/>
        </w:rPr>
        <w:t>наторн</w:t>
      </w:r>
      <w:r w:rsidR="00800FB5">
        <w:rPr>
          <w:rFonts w:ascii="Times New Roman" w:hAnsi="Times New Roman"/>
          <w:sz w:val="24"/>
          <w:szCs w:val="24"/>
        </w:rPr>
        <w:t>и скрининг одржан је у Бриселу</w:t>
      </w:r>
      <w:r w:rsidR="00800FB5">
        <w:rPr>
          <w:rFonts w:ascii="Times New Roman" w:hAnsi="Times New Roman"/>
          <w:sz w:val="24"/>
          <w:szCs w:val="24"/>
          <w:lang w:val="sr-Cyrl-RS"/>
        </w:rPr>
        <w:t xml:space="preserve"> </w:t>
      </w:r>
      <w:r>
        <w:rPr>
          <w:rFonts w:ascii="Times New Roman" w:hAnsi="Times New Roman"/>
          <w:sz w:val="24"/>
          <w:szCs w:val="24"/>
        </w:rPr>
        <w:t xml:space="preserve">21. марта 2014. године. Након тога, одржан је </w:t>
      </w:r>
      <w:r>
        <w:rPr>
          <w:rFonts w:ascii="Times New Roman" w:hAnsi="Times New Roman"/>
          <w:sz w:val="24"/>
          <w:szCs w:val="24"/>
          <w:lang w:val="sr-Cyrl-RS"/>
        </w:rPr>
        <w:t>б</w:t>
      </w:r>
      <w:r>
        <w:rPr>
          <w:rFonts w:ascii="Times New Roman" w:hAnsi="Times New Roman"/>
          <w:sz w:val="24"/>
          <w:szCs w:val="24"/>
        </w:rPr>
        <w:t>илатерални скрининг 13.</w:t>
      </w:r>
      <w:r w:rsidR="00843D62">
        <w:rPr>
          <w:rFonts w:ascii="Times New Roman" w:hAnsi="Times New Roman"/>
          <w:sz w:val="24"/>
          <w:szCs w:val="24"/>
          <w:lang w:val="sr-Cyrl-RS"/>
        </w:rPr>
        <w:t xml:space="preserve"> </w:t>
      </w:r>
      <w:r>
        <w:rPr>
          <w:rFonts w:ascii="Times New Roman" w:hAnsi="Times New Roman"/>
          <w:sz w:val="24"/>
          <w:szCs w:val="24"/>
        </w:rPr>
        <w:t xml:space="preserve">маја у Бриселу на коме су чланови Преговарачке групе са успехом представили систем јавних набавки у </w:t>
      </w:r>
      <w:r>
        <w:rPr>
          <w:rFonts w:ascii="Times New Roman" w:hAnsi="Times New Roman"/>
          <w:sz w:val="24"/>
          <w:szCs w:val="24"/>
          <w:lang w:val="sr-Cyrl-RS"/>
        </w:rPr>
        <w:t xml:space="preserve">Републици </w:t>
      </w:r>
      <w:r>
        <w:rPr>
          <w:rFonts w:ascii="Times New Roman" w:hAnsi="Times New Roman"/>
          <w:sz w:val="24"/>
          <w:szCs w:val="24"/>
        </w:rPr>
        <w:t xml:space="preserve">Србији </w:t>
      </w:r>
      <w:r w:rsidR="00843D62">
        <w:rPr>
          <w:rFonts w:ascii="Times New Roman" w:hAnsi="Times New Roman"/>
          <w:sz w:val="24"/>
          <w:szCs w:val="24"/>
          <w:lang w:val="sr-Cyrl-RS"/>
        </w:rPr>
        <w:t xml:space="preserve">и </w:t>
      </w:r>
      <w:r>
        <w:rPr>
          <w:rFonts w:ascii="Times New Roman" w:hAnsi="Times New Roman"/>
          <w:sz w:val="24"/>
          <w:szCs w:val="24"/>
        </w:rPr>
        <w:t xml:space="preserve">начин на који ће </w:t>
      </w:r>
      <w:r>
        <w:rPr>
          <w:rFonts w:ascii="Times New Roman" w:hAnsi="Times New Roman"/>
          <w:sz w:val="24"/>
          <w:szCs w:val="24"/>
          <w:lang w:val="sr-Cyrl-RS"/>
        </w:rPr>
        <w:t xml:space="preserve">Република </w:t>
      </w:r>
      <w:r w:rsidRPr="00C62C52">
        <w:rPr>
          <w:rFonts w:ascii="Times New Roman" w:hAnsi="Times New Roman"/>
          <w:sz w:val="24"/>
          <w:szCs w:val="24"/>
        </w:rPr>
        <w:t>С</w:t>
      </w:r>
      <w:r w:rsidRPr="00C62C52">
        <w:rPr>
          <w:rFonts w:ascii="Times New Roman" w:hAnsi="Times New Roman"/>
          <w:sz w:val="24"/>
          <w:szCs w:val="24"/>
          <w:lang w:val="sr-Cyrl-RS"/>
        </w:rPr>
        <w:t>рбија</w:t>
      </w:r>
      <w:r w:rsidRPr="00BC46CA">
        <w:rPr>
          <w:rFonts w:ascii="Times New Roman" w:hAnsi="Times New Roman"/>
          <w:color w:val="FF0000"/>
          <w:sz w:val="24"/>
          <w:szCs w:val="24"/>
        </w:rPr>
        <w:t xml:space="preserve"> </w:t>
      </w:r>
      <w:r w:rsidRPr="00BC46CA">
        <w:rPr>
          <w:rFonts w:ascii="Times New Roman" w:hAnsi="Times New Roman"/>
          <w:sz w:val="24"/>
          <w:szCs w:val="24"/>
        </w:rPr>
        <w:t>д</w:t>
      </w:r>
      <w:r>
        <w:rPr>
          <w:rFonts w:ascii="Times New Roman" w:hAnsi="Times New Roman"/>
          <w:sz w:val="24"/>
          <w:szCs w:val="24"/>
        </w:rPr>
        <w:t xml:space="preserve">о 2018. године извршити пуно усклађивање са правним тековинама ЕУ у овој области. </w:t>
      </w:r>
    </w:p>
    <w:p w:rsidR="00BF3283" w:rsidRPr="00015416" w:rsidRDefault="00BF3283" w:rsidP="00BF3283">
      <w:pPr>
        <w:jc w:val="both"/>
        <w:rPr>
          <w:rFonts w:ascii="Times New Roman" w:hAnsi="Times New Roman"/>
          <w:sz w:val="24"/>
          <w:szCs w:val="24"/>
          <w:lang w:val="sr-Cyrl-RS"/>
        </w:rPr>
      </w:pPr>
      <w:r>
        <w:rPr>
          <w:rFonts w:ascii="Times New Roman" w:hAnsi="Times New Roman"/>
          <w:sz w:val="24"/>
          <w:szCs w:val="24"/>
        </w:rPr>
        <w:t>Током скрининга, представници Е</w:t>
      </w:r>
      <w:r>
        <w:rPr>
          <w:rFonts w:ascii="Times New Roman" w:hAnsi="Times New Roman"/>
          <w:sz w:val="24"/>
          <w:szCs w:val="24"/>
          <w:lang w:val="sr-Cyrl-RS"/>
        </w:rPr>
        <w:t>вр</w:t>
      </w:r>
      <w:r w:rsidR="00E1117C">
        <w:rPr>
          <w:rFonts w:ascii="Times New Roman" w:hAnsi="Times New Roman"/>
          <w:sz w:val="24"/>
          <w:szCs w:val="24"/>
          <w:lang w:val="sr-Cyrl-RS"/>
        </w:rPr>
        <w:t>о</w:t>
      </w:r>
      <w:r>
        <w:rPr>
          <w:rFonts w:ascii="Times New Roman" w:hAnsi="Times New Roman"/>
          <w:sz w:val="24"/>
          <w:szCs w:val="24"/>
          <w:lang w:val="sr-Cyrl-RS"/>
        </w:rPr>
        <w:t>пске комисије</w:t>
      </w:r>
      <w:r>
        <w:rPr>
          <w:rFonts w:ascii="Times New Roman" w:hAnsi="Times New Roman"/>
          <w:sz w:val="24"/>
          <w:szCs w:val="24"/>
        </w:rPr>
        <w:t xml:space="preserve"> су истакли да је важан предуслов за успешно спровођење реформи у области јавних набавки и остваривање пуног усклађивања са тековинама ЕУ да Влада Србије усвоји Стратегију развоја јавних набавки у Србији и Акциони план за њено спровођење. У супротном, то би постао предуслов </w:t>
      </w:r>
      <w:r>
        <w:rPr>
          <w:rFonts w:ascii="Times New Roman" w:hAnsi="Times New Roman"/>
          <w:sz w:val="24"/>
          <w:szCs w:val="24"/>
          <w:lang w:val="sr-Cyrl-RS"/>
        </w:rPr>
        <w:t>(</w:t>
      </w:r>
      <w:r>
        <w:rPr>
          <w:lang w:val="sr-Cyrl-RS"/>
        </w:rPr>
        <w:t>„</w:t>
      </w:r>
      <w:r>
        <w:rPr>
          <w:rFonts w:ascii="Times New Roman" w:hAnsi="Times New Roman"/>
          <w:sz w:val="24"/>
          <w:szCs w:val="24"/>
        </w:rPr>
        <w:t xml:space="preserve">benchmark“) за отварање поглавља 5, што значи да се преговори о поглављу 5 не би могли отворити све док Влада не усвоји Стратегију. Стога је важно да Влада усвоји Стратегију пре </w:t>
      </w:r>
      <w:r w:rsidRPr="00534565">
        <w:rPr>
          <w:rFonts w:ascii="Times New Roman" w:hAnsi="Times New Roman"/>
          <w:sz w:val="24"/>
          <w:szCs w:val="24"/>
        </w:rPr>
        <w:t>него што се заврши писање Изве</w:t>
      </w:r>
      <w:r>
        <w:rPr>
          <w:rFonts w:ascii="Times New Roman" w:hAnsi="Times New Roman"/>
          <w:sz w:val="24"/>
          <w:szCs w:val="24"/>
        </w:rPr>
        <w:t>штаја о скринингу од стране Е</w:t>
      </w:r>
      <w:r>
        <w:rPr>
          <w:rFonts w:ascii="Times New Roman" w:hAnsi="Times New Roman"/>
          <w:sz w:val="24"/>
          <w:szCs w:val="24"/>
          <w:lang w:val="sr-Cyrl-RS"/>
        </w:rPr>
        <w:t>вропске комисије.</w:t>
      </w:r>
    </w:p>
    <w:p w:rsidR="00BF3283" w:rsidRPr="00C447FE" w:rsidRDefault="00BF3283" w:rsidP="00BF3283">
      <w:pPr>
        <w:jc w:val="both"/>
        <w:rPr>
          <w:rFonts w:ascii="Times New Roman" w:hAnsi="Times New Roman"/>
          <w:color w:val="000000" w:themeColor="text1"/>
          <w:sz w:val="24"/>
          <w:szCs w:val="24"/>
          <w:lang w:val="sr-Cyrl-CS"/>
        </w:rPr>
      </w:pPr>
      <w:r w:rsidRPr="00534565">
        <w:rPr>
          <w:rFonts w:ascii="Times New Roman" w:hAnsi="Times New Roman"/>
          <w:sz w:val="24"/>
          <w:szCs w:val="24"/>
        </w:rPr>
        <w:t>Поред поглавља 5, представници Управе учествују и у Преговара</w:t>
      </w:r>
      <w:r>
        <w:rPr>
          <w:rFonts w:ascii="Times New Roman" w:hAnsi="Times New Roman"/>
          <w:sz w:val="24"/>
          <w:szCs w:val="24"/>
        </w:rPr>
        <w:t>чк</w:t>
      </w:r>
      <w:r>
        <w:rPr>
          <w:rFonts w:ascii="Times New Roman" w:hAnsi="Times New Roman"/>
          <w:sz w:val="24"/>
          <w:szCs w:val="24"/>
          <w:lang w:val="sr-Cyrl-CS"/>
        </w:rPr>
        <w:t>им</w:t>
      </w:r>
      <w:r>
        <w:rPr>
          <w:rFonts w:ascii="Times New Roman" w:hAnsi="Times New Roman"/>
          <w:sz w:val="24"/>
          <w:szCs w:val="24"/>
        </w:rPr>
        <w:t xml:space="preserve"> груп</w:t>
      </w:r>
      <w:r>
        <w:rPr>
          <w:rFonts w:ascii="Times New Roman" w:hAnsi="Times New Roman"/>
          <w:sz w:val="24"/>
          <w:szCs w:val="24"/>
          <w:lang w:val="sr-Cyrl-CS"/>
        </w:rPr>
        <w:t>ама</w:t>
      </w:r>
      <w:r>
        <w:rPr>
          <w:rFonts w:ascii="Times New Roman" w:hAnsi="Times New Roman"/>
          <w:sz w:val="24"/>
          <w:szCs w:val="24"/>
        </w:rPr>
        <w:t xml:space="preserve"> за поглављ</w:t>
      </w:r>
      <w:r>
        <w:rPr>
          <w:rFonts w:ascii="Times New Roman" w:hAnsi="Times New Roman"/>
          <w:sz w:val="24"/>
          <w:szCs w:val="24"/>
          <w:lang w:val="sr-Cyrl-CS"/>
        </w:rPr>
        <w:t>а</w:t>
      </w:r>
      <w:r>
        <w:rPr>
          <w:rFonts w:ascii="Times New Roman" w:hAnsi="Times New Roman"/>
          <w:sz w:val="24"/>
          <w:szCs w:val="24"/>
        </w:rPr>
        <w:t xml:space="preserve"> 2</w:t>
      </w:r>
      <w:r>
        <w:rPr>
          <w:rFonts w:ascii="Times New Roman" w:hAnsi="Times New Roman"/>
          <w:sz w:val="24"/>
          <w:szCs w:val="24"/>
          <w:lang w:val="sr-Cyrl-CS"/>
        </w:rPr>
        <w:t>0</w:t>
      </w:r>
      <w:r>
        <w:rPr>
          <w:rFonts w:ascii="Times New Roman" w:hAnsi="Times New Roman"/>
          <w:sz w:val="24"/>
          <w:szCs w:val="24"/>
        </w:rPr>
        <w:t xml:space="preserve"> и 2</w:t>
      </w:r>
      <w:r>
        <w:rPr>
          <w:rFonts w:ascii="Times New Roman" w:hAnsi="Times New Roman"/>
          <w:sz w:val="24"/>
          <w:szCs w:val="24"/>
          <w:lang w:val="sr-Cyrl-CS"/>
        </w:rPr>
        <w:t xml:space="preserve">3, </w:t>
      </w:r>
      <w:r w:rsidRPr="00C447FE">
        <w:rPr>
          <w:rFonts w:ascii="Times New Roman" w:hAnsi="Times New Roman"/>
          <w:color w:val="000000" w:themeColor="text1"/>
          <w:sz w:val="24"/>
          <w:szCs w:val="24"/>
          <w:lang w:val="sr-Cyrl-CS"/>
        </w:rPr>
        <w:t>која се односе на област предузетништва, односно правосуђа.</w:t>
      </w:r>
    </w:p>
    <w:p w:rsidR="00BF3283" w:rsidRDefault="00BF3283" w:rsidP="00BF3283">
      <w:pPr>
        <w:pStyle w:val="NormalWeb"/>
        <w:shd w:val="clear" w:color="auto" w:fill="FFFFFF"/>
        <w:spacing w:before="0" w:beforeAutospacing="0" w:after="0" w:afterAutospacing="0" w:line="270" w:lineRule="atLeast"/>
        <w:jc w:val="both"/>
        <w:rPr>
          <w:lang w:val="sr-Cyrl-RS"/>
        </w:rPr>
      </w:pPr>
      <w:r w:rsidRPr="00534565">
        <w:t xml:space="preserve">О току преговора у оквиру поглавља 5, </w:t>
      </w:r>
      <w:r>
        <w:rPr>
          <w:lang w:val="sr-Cyrl-CS"/>
        </w:rPr>
        <w:t xml:space="preserve">односно са детаљима билатералног скрининга, </w:t>
      </w:r>
      <w:r w:rsidRPr="00534565">
        <w:t>информисани су и представни</w:t>
      </w:r>
      <w:r>
        <w:t xml:space="preserve">ци </w:t>
      </w:r>
      <w:r>
        <w:rPr>
          <w:lang w:val="sr-Cyrl-CS"/>
        </w:rPr>
        <w:t>цивилног</w:t>
      </w:r>
      <w:r>
        <w:t xml:space="preserve"> друштва у Србији</w:t>
      </w:r>
      <w:r>
        <w:rPr>
          <w:lang w:val="sr-Cyrl-CS"/>
        </w:rPr>
        <w:t>, на с</w:t>
      </w:r>
      <w:r>
        <w:t>астан</w:t>
      </w:r>
      <w:r w:rsidRPr="00534565">
        <w:t>к</w:t>
      </w:r>
      <w:r>
        <w:rPr>
          <w:lang w:val="sr-Cyrl-CS"/>
        </w:rPr>
        <w:t>у</w:t>
      </w:r>
      <w:r w:rsidRPr="00534565">
        <w:t xml:space="preserve"> </w:t>
      </w:r>
      <w:r>
        <w:rPr>
          <w:lang w:val="sr-Cyrl-CS"/>
        </w:rPr>
        <w:t xml:space="preserve">који је </w:t>
      </w:r>
      <w:r>
        <w:t xml:space="preserve">одржан је </w:t>
      </w:r>
      <w:r w:rsidRPr="00534565">
        <w:t>17. јула 2014. године у Београду. Скуп</w:t>
      </w:r>
      <w:r>
        <w:rPr>
          <w:lang w:val="sr-Cyrl-CS"/>
        </w:rPr>
        <w:t xml:space="preserve">ом су </w:t>
      </w:r>
      <w:r w:rsidRPr="00534565">
        <w:t>председавали проф. др Тања Мишчевић, шефица Преговарачког тима за вођење преговора о приступању Републике Србије Европској унији и др Предра</w:t>
      </w:r>
      <w:r>
        <w:t xml:space="preserve">г Јовановић, директор </w:t>
      </w:r>
      <w:r w:rsidR="00A62079">
        <w:rPr>
          <w:lang w:val="sr-Cyrl-RS"/>
        </w:rPr>
        <w:t>Управе за јавне набавке</w:t>
      </w:r>
      <w:r>
        <w:t xml:space="preserve"> и шеф Преговарачке групе 5</w:t>
      </w:r>
      <w:r>
        <w:rPr>
          <w:lang w:val="sr-Cyrl-RS"/>
        </w:rPr>
        <w:t>.</w:t>
      </w:r>
    </w:p>
    <w:p w:rsidR="00BF3283" w:rsidRPr="00727736" w:rsidRDefault="00BF3283" w:rsidP="00BF3283">
      <w:pPr>
        <w:pStyle w:val="NormalWeb"/>
        <w:shd w:val="clear" w:color="auto" w:fill="FFFFFF"/>
        <w:spacing w:before="0" w:beforeAutospacing="0" w:after="0" w:afterAutospacing="0" w:line="270" w:lineRule="atLeast"/>
        <w:jc w:val="both"/>
        <w:rPr>
          <w:lang w:val="sr-Cyrl-RS"/>
        </w:rPr>
      </w:pPr>
    </w:p>
    <w:p w:rsidR="00BF3283" w:rsidRPr="003E335C" w:rsidRDefault="009F0921" w:rsidP="00BF3283">
      <w:pPr>
        <w:jc w:val="both"/>
        <w:rPr>
          <w:rFonts w:ascii="Times New Roman" w:hAnsi="Times New Roman"/>
          <w:sz w:val="24"/>
          <w:szCs w:val="24"/>
          <w:lang w:val="sr-Cyrl-RS"/>
        </w:rPr>
      </w:pPr>
      <w:r>
        <w:rPr>
          <w:rFonts w:ascii="Times New Roman" w:hAnsi="Times New Roman"/>
          <w:sz w:val="24"/>
          <w:szCs w:val="24"/>
          <w:lang w:val="sr-Cyrl-RS"/>
        </w:rPr>
        <w:t>Управа</w:t>
      </w:r>
      <w:r w:rsidR="00BF3283">
        <w:rPr>
          <w:rFonts w:ascii="Times New Roman" w:hAnsi="Times New Roman"/>
          <w:sz w:val="24"/>
          <w:szCs w:val="24"/>
          <w:lang w:val="sr-Cyrl-RS"/>
        </w:rPr>
        <w:t xml:space="preserve"> је</w:t>
      </w:r>
      <w:r w:rsidR="00BF3283" w:rsidRPr="001568D4">
        <w:rPr>
          <w:rFonts w:ascii="Times New Roman" w:hAnsi="Times New Roman"/>
          <w:color w:val="FF0000"/>
          <w:sz w:val="24"/>
          <w:szCs w:val="24"/>
          <w:lang w:val="sr-Cyrl-RS"/>
        </w:rPr>
        <w:t xml:space="preserve"> </w:t>
      </w:r>
      <w:r w:rsidR="00BF3283" w:rsidRPr="00623CF5">
        <w:rPr>
          <w:rFonts w:ascii="Times New Roman" w:hAnsi="Times New Roman"/>
          <w:sz w:val="24"/>
          <w:szCs w:val="24"/>
          <w:lang w:val="sr-Cyrl-RS"/>
        </w:rPr>
        <w:t>такође</w:t>
      </w:r>
      <w:r w:rsidR="00BF3283" w:rsidRPr="001568D4">
        <w:rPr>
          <w:rFonts w:ascii="Times New Roman" w:hAnsi="Times New Roman"/>
          <w:color w:val="FF0000"/>
          <w:sz w:val="24"/>
          <w:szCs w:val="24"/>
          <w:lang w:val="sr-Cyrl-RS"/>
        </w:rPr>
        <w:t xml:space="preserve"> </w:t>
      </w:r>
      <w:r w:rsidR="00BF3283">
        <w:rPr>
          <w:rFonts w:ascii="Times New Roman" w:hAnsi="Times New Roman"/>
          <w:sz w:val="24"/>
          <w:szCs w:val="24"/>
          <w:lang w:val="sr-Cyrl-RS"/>
        </w:rPr>
        <w:t>учествовала у ревизији</w:t>
      </w:r>
      <w:r w:rsidR="00BF3283" w:rsidRPr="00BB182A">
        <w:rPr>
          <w:rFonts w:ascii="Times New Roman" w:hAnsi="Times New Roman"/>
          <w:sz w:val="24"/>
          <w:szCs w:val="24"/>
        </w:rPr>
        <w:t xml:space="preserve"> </w:t>
      </w:r>
      <w:r w:rsidR="00BF3283">
        <w:rPr>
          <w:rFonts w:ascii="Times New Roman" w:hAnsi="Times New Roman"/>
          <w:sz w:val="24"/>
          <w:szCs w:val="24"/>
          <w:lang w:val="sr-Cyrl-RS"/>
        </w:rPr>
        <w:t>Националног програма за</w:t>
      </w:r>
      <w:r w:rsidR="00BF3283" w:rsidRPr="00863A3B">
        <w:rPr>
          <w:rFonts w:ascii="Times New Roman" w:hAnsi="Times New Roman"/>
          <w:sz w:val="24"/>
          <w:szCs w:val="24"/>
          <w:lang w:val="sr-Cyrl-RS"/>
        </w:rPr>
        <w:t xml:space="preserve"> усвајање </w:t>
      </w:r>
      <w:r w:rsidR="00BF3283">
        <w:rPr>
          <w:rFonts w:ascii="Times New Roman" w:hAnsi="Times New Roman"/>
          <w:sz w:val="24"/>
          <w:szCs w:val="24"/>
          <w:lang w:val="sr-Cyrl-RS"/>
        </w:rPr>
        <w:t>правних тековина ЕУ</w:t>
      </w:r>
      <w:r w:rsidR="00BF3283">
        <w:rPr>
          <w:rFonts w:ascii="Times New Roman" w:hAnsi="Times New Roman"/>
          <w:sz w:val="24"/>
          <w:szCs w:val="24"/>
        </w:rPr>
        <w:t xml:space="preserve"> (</w:t>
      </w:r>
      <w:r w:rsidR="00BF3283">
        <w:rPr>
          <w:rFonts w:ascii="Times New Roman" w:hAnsi="Times New Roman"/>
          <w:sz w:val="24"/>
          <w:szCs w:val="24"/>
          <w:lang w:val="sr-Cyrl-RS"/>
        </w:rPr>
        <w:t>НПАА</w:t>
      </w:r>
      <w:r w:rsidR="00BF3283">
        <w:rPr>
          <w:rFonts w:ascii="Times New Roman" w:hAnsi="Times New Roman"/>
          <w:sz w:val="24"/>
          <w:szCs w:val="24"/>
        </w:rPr>
        <w:t xml:space="preserve">). </w:t>
      </w:r>
      <w:r w:rsidR="00BF3283">
        <w:rPr>
          <w:rFonts w:ascii="Times New Roman" w:hAnsi="Times New Roman"/>
          <w:sz w:val="24"/>
          <w:szCs w:val="24"/>
          <w:lang w:val="sr-Cyrl-RS"/>
        </w:rPr>
        <w:t xml:space="preserve">У овом документу, </w:t>
      </w:r>
      <w:r>
        <w:rPr>
          <w:rFonts w:ascii="Times New Roman" w:hAnsi="Times New Roman"/>
          <w:sz w:val="24"/>
          <w:szCs w:val="24"/>
          <w:lang w:val="sr-Cyrl-RS"/>
        </w:rPr>
        <w:t>Управа</w:t>
      </w:r>
      <w:r w:rsidR="00BF3283">
        <w:rPr>
          <w:rFonts w:ascii="Times New Roman" w:hAnsi="Times New Roman"/>
          <w:sz w:val="24"/>
          <w:szCs w:val="24"/>
          <w:lang w:val="sr-Cyrl-RS"/>
        </w:rPr>
        <w:t xml:space="preserve"> је представила план са роковима за потпуно усклађивање са правним тековинама ЕУ у области јавних набавки, укључујући концесије и јавно-приватно партнерство.</w:t>
      </w:r>
      <w:r w:rsidR="00BF3283">
        <w:rPr>
          <w:rFonts w:ascii="Times New Roman" w:hAnsi="Times New Roman"/>
          <w:sz w:val="24"/>
          <w:szCs w:val="24"/>
        </w:rPr>
        <w:t xml:space="preserve"> </w:t>
      </w:r>
    </w:p>
    <w:p w:rsidR="00BF3283" w:rsidRPr="000C357C" w:rsidRDefault="00BF3283" w:rsidP="00BF3283">
      <w:pPr>
        <w:rPr>
          <w:rFonts w:ascii="Times New Roman" w:hAnsi="Times New Roman"/>
          <w:b/>
          <w:sz w:val="24"/>
          <w:szCs w:val="24"/>
        </w:rPr>
      </w:pPr>
      <w:r w:rsidRPr="000C357C">
        <w:rPr>
          <w:rFonts w:ascii="Times New Roman" w:hAnsi="Times New Roman"/>
          <w:b/>
          <w:sz w:val="24"/>
          <w:szCs w:val="24"/>
        </w:rPr>
        <w:t xml:space="preserve">Стратегија развоја јавних набавки </w:t>
      </w:r>
    </w:p>
    <w:p w:rsidR="00BF3283" w:rsidRPr="00F904B1" w:rsidRDefault="00BF3283" w:rsidP="00BF3283">
      <w:pPr>
        <w:jc w:val="both"/>
        <w:rPr>
          <w:rFonts w:ascii="Times New Roman" w:hAnsi="Times New Roman"/>
          <w:sz w:val="24"/>
          <w:szCs w:val="24"/>
        </w:rPr>
      </w:pPr>
      <w:r>
        <w:rPr>
          <w:rFonts w:ascii="Times New Roman" w:hAnsi="Times New Roman"/>
          <w:sz w:val="24"/>
          <w:szCs w:val="24"/>
        </w:rPr>
        <w:t xml:space="preserve">Полазећи од значаја који Стратегија има за унапређивање система јавних набавки у </w:t>
      </w:r>
      <w:r>
        <w:rPr>
          <w:rFonts w:ascii="Times New Roman" w:hAnsi="Times New Roman"/>
          <w:sz w:val="24"/>
          <w:szCs w:val="24"/>
          <w:lang w:val="sr-Cyrl-RS"/>
        </w:rPr>
        <w:t xml:space="preserve">Републици </w:t>
      </w:r>
      <w:r w:rsidRPr="00863A3B">
        <w:rPr>
          <w:rFonts w:ascii="Times New Roman" w:hAnsi="Times New Roman"/>
          <w:sz w:val="24"/>
          <w:szCs w:val="24"/>
        </w:rPr>
        <w:t xml:space="preserve">Србији и процес преговора са ЕУ, Управа </w:t>
      </w:r>
      <w:r w:rsidR="009F0921">
        <w:rPr>
          <w:rFonts w:ascii="Times New Roman" w:hAnsi="Times New Roman"/>
          <w:sz w:val="24"/>
          <w:szCs w:val="24"/>
        </w:rPr>
        <w:t xml:space="preserve">је, у јануару 2014. </w:t>
      </w:r>
      <w:r w:rsidR="009F0921">
        <w:rPr>
          <w:rFonts w:ascii="Times New Roman" w:hAnsi="Times New Roman"/>
          <w:sz w:val="24"/>
          <w:szCs w:val="24"/>
          <w:lang w:val="sr-Cyrl-RS"/>
        </w:rPr>
        <w:t>г</w:t>
      </w:r>
      <w:r w:rsidRPr="00863A3B">
        <w:rPr>
          <w:rFonts w:ascii="Times New Roman" w:hAnsi="Times New Roman"/>
          <w:sz w:val="24"/>
          <w:szCs w:val="24"/>
        </w:rPr>
        <w:t>одине</w:t>
      </w:r>
      <w:r>
        <w:rPr>
          <w:rFonts w:ascii="Times New Roman" w:hAnsi="Times New Roman"/>
          <w:sz w:val="24"/>
          <w:szCs w:val="24"/>
          <w:lang w:val="sr-Cyrl-CS"/>
        </w:rPr>
        <w:t xml:space="preserve">, </w:t>
      </w:r>
      <w:r w:rsidRPr="00863A3B">
        <w:rPr>
          <w:rFonts w:ascii="Times New Roman" w:hAnsi="Times New Roman"/>
          <w:sz w:val="24"/>
          <w:szCs w:val="24"/>
        </w:rPr>
        <w:t xml:space="preserve">започела рад </w:t>
      </w:r>
      <w:r>
        <w:rPr>
          <w:rFonts w:ascii="Times New Roman" w:hAnsi="Times New Roman"/>
          <w:sz w:val="24"/>
          <w:szCs w:val="24"/>
        </w:rPr>
        <w:t>на Стратегији развоја јавних набавки у Србији и Акционом плану за њено спровођење.</w:t>
      </w:r>
      <w:r>
        <w:rPr>
          <w:rFonts w:ascii="Times New Roman" w:hAnsi="Times New Roman"/>
          <w:sz w:val="24"/>
          <w:szCs w:val="24"/>
          <w:lang w:val="sr-Cyrl-CS"/>
        </w:rPr>
        <w:t xml:space="preserve"> </w:t>
      </w:r>
      <w:r>
        <w:rPr>
          <w:rFonts w:ascii="Times New Roman" w:hAnsi="Times New Roman"/>
          <w:sz w:val="24"/>
          <w:szCs w:val="24"/>
        </w:rPr>
        <w:t>Стратегија се односи на период од 2014</w:t>
      </w:r>
      <w:r w:rsidR="004B577C">
        <w:rPr>
          <w:rFonts w:ascii="Times New Roman" w:hAnsi="Times New Roman"/>
          <w:sz w:val="24"/>
          <w:szCs w:val="24"/>
          <w:lang w:val="sr-Cyrl-RS"/>
        </w:rPr>
        <w:t>.</w:t>
      </w:r>
      <w:r>
        <w:rPr>
          <w:rFonts w:ascii="Times New Roman" w:hAnsi="Times New Roman"/>
          <w:sz w:val="24"/>
          <w:szCs w:val="24"/>
        </w:rPr>
        <w:t xml:space="preserve"> до 2018. године, до када је планирано да се оствари пуно усклађивање са правним тековинама ЕУ у области јавних набавки, а Акциони план за период до краја 2015. године, да би се, потом, акциони </w:t>
      </w:r>
      <w:r w:rsidRPr="00F904B1">
        <w:rPr>
          <w:rFonts w:ascii="Times New Roman" w:hAnsi="Times New Roman"/>
          <w:sz w:val="24"/>
          <w:szCs w:val="24"/>
        </w:rPr>
        <w:t xml:space="preserve">планови </w:t>
      </w:r>
      <w:r w:rsidRPr="00F904B1">
        <w:rPr>
          <w:rFonts w:ascii="Times New Roman" w:hAnsi="Times New Roman"/>
          <w:sz w:val="24"/>
          <w:szCs w:val="24"/>
          <w:lang w:val="sr-Cyrl-RS"/>
        </w:rPr>
        <w:t>доносили</w:t>
      </w:r>
      <w:r w:rsidRPr="00F904B1">
        <w:rPr>
          <w:rFonts w:ascii="Times New Roman" w:hAnsi="Times New Roman"/>
          <w:sz w:val="24"/>
          <w:szCs w:val="24"/>
        </w:rPr>
        <w:t xml:space="preserve"> на годишњем нивоу.    </w:t>
      </w:r>
    </w:p>
    <w:p w:rsidR="00BF3283" w:rsidRPr="00A86151" w:rsidRDefault="00BF3283" w:rsidP="00BF3283">
      <w:pPr>
        <w:jc w:val="both"/>
        <w:rPr>
          <w:rFonts w:ascii="Times New Roman" w:hAnsi="Times New Roman"/>
          <w:sz w:val="24"/>
          <w:szCs w:val="24"/>
          <w:lang w:val="sr-Cyrl-CS"/>
        </w:rPr>
      </w:pPr>
      <w:r w:rsidRPr="00F904B1">
        <w:rPr>
          <w:rFonts w:ascii="Times New Roman" w:hAnsi="Times New Roman"/>
          <w:sz w:val="24"/>
          <w:szCs w:val="24"/>
        </w:rPr>
        <w:t xml:space="preserve">У изради Стратегије, Управи су помагала три стручњака ЕУ ангажована у оквиру ПЛАК пројекта: један из Грчке и два из Хрватске. </w:t>
      </w:r>
      <w:r w:rsidRPr="00F904B1">
        <w:rPr>
          <w:rFonts w:ascii="Times New Roman" w:hAnsi="Times New Roman"/>
          <w:sz w:val="24"/>
          <w:szCs w:val="24"/>
          <w:lang w:val="sr-Cyrl-RS"/>
        </w:rPr>
        <w:t>Прва Радна верзија стратегије достављена је почетком јуна, електронским путем, свим заинтересованим странама ради давања предлога, примедби и сугестија. При томе, Радна верзија стратегије представљена је и на конференцији одржаној 20.</w:t>
      </w:r>
      <w:r w:rsidR="00002DBF">
        <w:rPr>
          <w:rFonts w:ascii="Times New Roman" w:hAnsi="Times New Roman"/>
          <w:sz w:val="24"/>
          <w:szCs w:val="24"/>
          <w:lang w:val="sr-Cyrl-RS"/>
        </w:rPr>
        <w:t xml:space="preserve">6.2014. </w:t>
      </w:r>
      <w:r w:rsidRPr="00F904B1">
        <w:rPr>
          <w:rFonts w:ascii="Times New Roman" w:hAnsi="Times New Roman"/>
          <w:sz w:val="24"/>
          <w:szCs w:val="24"/>
          <w:lang w:val="sr-Cyrl-RS"/>
        </w:rPr>
        <w:t xml:space="preserve">години </w:t>
      </w:r>
      <w:r>
        <w:rPr>
          <w:rFonts w:ascii="Times New Roman" w:hAnsi="Times New Roman"/>
          <w:sz w:val="24"/>
          <w:szCs w:val="24"/>
          <w:lang w:val="sr-Cyrl-ME"/>
        </w:rPr>
        <w:t>и објављена на интернет</w:t>
      </w:r>
      <w:r w:rsidR="00714B2E">
        <w:rPr>
          <w:rFonts w:ascii="Times New Roman" w:hAnsi="Times New Roman"/>
          <w:sz w:val="24"/>
          <w:szCs w:val="24"/>
          <w:lang w:val="sr-Cyrl-RS"/>
        </w:rPr>
        <w:t xml:space="preserve"> </w:t>
      </w:r>
      <w:r w:rsidRPr="00F904B1">
        <w:rPr>
          <w:rFonts w:ascii="Times New Roman" w:hAnsi="Times New Roman"/>
          <w:sz w:val="24"/>
          <w:szCs w:val="24"/>
          <w:lang w:val="sr-Cyrl-ME"/>
        </w:rPr>
        <w:t>страници Управе</w:t>
      </w:r>
      <w:r w:rsidR="00714B2E">
        <w:rPr>
          <w:rFonts w:ascii="Times New Roman" w:hAnsi="Times New Roman"/>
          <w:sz w:val="24"/>
          <w:szCs w:val="24"/>
          <w:lang w:val="sr-Cyrl-ME"/>
        </w:rPr>
        <w:t xml:space="preserve">, </w:t>
      </w:r>
      <w:r w:rsidRPr="00F904B1">
        <w:rPr>
          <w:rFonts w:ascii="Times New Roman" w:hAnsi="Times New Roman"/>
          <w:sz w:val="24"/>
          <w:szCs w:val="24"/>
          <w:lang w:val="sr-Cyrl-ME"/>
        </w:rPr>
        <w:t>како би се обезбедио транспарентан приступ изради документа</w:t>
      </w:r>
      <w:r w:rsidRPr="00F904B1">
        <w:rPr>
          <w:rFonts w:ascii="Times New Roman" w:hAnsi="Times New Roman"/>
          <w:sz w:val="24"/>
          <w:szCs w:val="24"/>
        </w:rPr>
        <w:t>. На представљању Стратегије и Акционог плана</w:t>
      </w:r>
      <w:r>
        <w:rPr>
          <w:rFonts w:ascii="Times New Roman" w:hAnsi="Times New Roman"/>
          <w:sz w:val="24"/>
          <w:szCs w:val="24"/>
          <w:lang w:val="sr-Cyrl-RS"/>
        </w:rPr>
        <w:t xml:space="preserve"> додатно је</w:t>
      </w:r>
      <w:r w:rsidRPr="00F904B1">
        <w:rPr>
          <w:rFonts w:ascii="Times New Roman" w:hAnsi="Times New Roman"/>
          <w:sz w:val="24"/>
          <w:szCs w:val="24"/>
        </w:rPr>
        <w:t xml:space="preserve"> затражено  од свих заинтересовани</w:t>
      </w:r>
      <w:r>
        <w:rPr>
          <w:rFonts w:ascii="Times New Roman" w:hAnsi="Times New Roman"/>
          <w:sz w:val="24"/>
          <w:szCs w:val="24"/>
        </w:rPr>
        <w:t xml:space="preserve">х страна да </w:t>
      </w:r>
      <w:r>
        <w:rPr>
          <w:rFonts w:ascii="Times New Roman" w:hAnsi="Times New Roman"/>
          <w:sz w:val="24"/>
          <w:szCs w:val="24"/>
        </w:rPr>
        <w:lastRenderedPageBreak/>
        <w:t>дају св</w:t>
      </w:r>
      <w:r>
        <w:rPr>
          <w:rFonts w:ascii="Times New Roman" w:hAnsi="Times New Roman"/>
          <w:sz w:val="24"/>
          <w:szCs w:val="24"/>
          <w:lang w:val="sr-Cyrl-RS"/>
        </w:rPr>
        <w:t xml:space="preserve">оје </w:t>
      </w:r>
      <w:r w:rsidRPr="00F904B1">
        <w:rPr>
          <w:rFonts w:ascii="Times New Roman" w:hAnsi="Times New Roman"/>
          <w:sz w:val="24"/>
          <w:szCs w:val="24"/>
        </w:rPr>
        <w:t xml:space="preserve"> предлоге</w:t>
      </w:r>
      <w:r>
        <w:rPr>
          <w:rFonts w:ascii="Times New Roman" w:hAnsi="Times New Roman"/>
          <w:sz w:val="24"/>
          <w:szCs w:val="24"/>
          <w:lang w:val="sr-Cyrl-RS"/>
        </w:rPr>
        <w:t xml:space="preserve"> и сугесије</w:t>
      </w:r>
      <w:r w:rsidRPr="00F904B1">
        <w:rPr>
          <w:rFonts w:ascii="Times New Roman" w:hAnsi="Times New Roman"/>
          <w:sz w:val="24"/>
          <w:szCs w:val="24"/>
        </w:rPr>
        <w:t xml:space="preserve">, што </w:t>
      </w:r>
      <w:r>
        <w:rPr>
          <w:rFonts w:ascii="Times New Roman" w:hAnsi="Times New Roman"/>
          <w:sz w:val="24"/>
          <w:szCs w:val="24"/>
          <w:lang w:val="sr-Cyrl-CS"/>
        </w:rPr>
        <w:t xml:space="preserve">је и учињено. </w:t>
      </w:r>
      <w:r>
        <w:rPr>
          <w:rFonts w:ascii="Times New Roman" w:hAnsi="Times New Roman"/>
          <w:sz w:val="24"/>
          <w:szCs w:val="24"/>
        </w:rPr>
        <w:t xml:space="preserve">На основу добијених </w:t>
      </w:r>
      <w:r w:rsidRPr="00F904B1">
        <w:rPr>
          <w:rFonts w:ascii="Times New Roman" w:hAnsi="Times New Roman"/>
          <w:sz w:val="24"/>
          <w:szCs w:val="24"/>
        </w:rPr>
        <w:t>предлога</w:t>
      </w:r>
      <w:r>
        <w:rPr>
          <w:rFonts w:ascii="Times New Roman" w:hAnsi="Times New Roman"/>
          <w:sz w:val="24"/>
          <w:szCs w:val="24"/>
          <w:lang w:val="sr-Cyrl-RS"/>
        </w:rPr>
        <w:t xml:space="preserve"> и сугестија</w:t>
      </w:r>
      <w:r>
        <w:rPr>
          <w:rFonts w:ascii="Times New Roman" w:hAnsi="Times New Roman"/>
          <w:sz w:val="24"/>
          <w:szCs w:val="24"/>
        </w:rPr>
        <w:t xml:space="preserve">, </w:t>
      </w:r>
      <w:r w:rsidR="00425747">
        <w:rPr>
          <w:rFonts w:ascii="Times New Roman" w:hAnsi="Times New Roman"/>
          <w:sz w:val="24"/>
          <w:szCs w:val="24"/>
          <w:lang w:val="sr-Cyrl-RS"/>
        </w:rPr>
        <w:t>Управа</w:t>
      </w:r>
      <w:r w:rsidRPr="00F904B1">
        <w:rPr>
          <w:rFonts w:ascii="Times New Roman" w:hAnsi="Times New Roman"/>
          <w:sz w:val="24"/>
          <w:szCs w:val="24"/>
        </w:rPr>
        <w:t xml:space="preserve"> је сачинила нову Радну верзију стратегије која је послата</w:t>
      </w:r>
      <w:r>
        <w:rPr>
          <w:rFonts w:ascii="Times New Roman" w:hAnsi="Times New Roman"/>
          <w:sz w:val="24"/>
          <w:szCs w:val="24"/>
        </w:rPr>
        <w:t xml:space="preserve"> Е</w:t>
      </w:r>
      <w:r>
        <w:rPr>
          <w:rFonts w:ascii="Times New Roman" w:hAnsi="Times New Roman"/>
          <w:sz w:val="24"/>
          <w:szCs w:val="24"/>
          <w:lang w:val="sr-Cyrl-RS"/>
        </w:rPr>
        <w:t>вропској комисији</w:t>
      </w:r>
      <w:r w:rsidRPr="00F904B1">
        <w:rPr>
          <w:rFonts w:ascii="Times New Roman" w:hAnsi="Times New Roman"/>
          <w:sz w:val="24"/>
          <w:szCs w:val="24"/>
        </w:rPr>
        <w:t xml:space="preserve"> на оцену. Након </w:t>
      </w:r>
      <w:r>
        <w:rPr>
          <w:rFonts w:ascii="Times New Roman" w:hAnsi="Times New Roman"/>
          <w:sz w:val="24"/>
          <w:szCs w:val="24"/>
        </w:rPr>
        <w:t>добијених сугестија од стране Е</w:t>
      </w:r>
      <w:r>
        <w:rPr>
          <w:rFonts w:ascii="Times New Roman" w:hAnsi="Times New Roman"/>
          <w:sz w:val="24"/>
          <w:szCs w:val="24"/>
          <w:lang w:val="sr-Cyrl-RS"/>
        </w:rPr>
        <w:t>вропске комисије</w:t>
      </w:r>
      <w:r w:rsidRPr="00F904B1">
        <w:rPr>
          <w:rFonts w:ascii="Times New Roman" w:hAnsi="Times New Roman"/>
          <w:sz w:val="24"/>
          <w:szCs w:val="24"/>
        </w:rPr>
        <w:t>, сачињен</w:t>
      </w:r>
      <w:r>
        <w:rPr>
          <w:rFonts w:ascii="Times New Roman" w:hAnsi="Times New Roman"/>
          <w:sz w:val="24"/>
          <w:szCs w:val="24"/>
          <w:lang w:val="sr-Cyrl-RS"/>
        </w:rPr>
        <w:t xml:space="preserve"> је Предлог </w:t>
      </w:r>
      <w:r>
        <w:rPr>
          <w:rStyle w:val="CommentReference"/>
          <w:rFonts w:ascii="Times New Roman" w:hAnsi="Times New Roman"/>
          <w:sz w:val="24"/>
          <w:szCs w:val="24"/>
          <w:lang w:val="sr-Cyrl-RS"/>
        </w:rPr>
        <w:t>ст</w:t>
      </w:r>
      <w:r w:rsidRPr="00F904B1">
        <w:rPr>
          <w:rFonts w:ascii="Times New Roman" w:hAnsi="Times New Roman"/>
          <w:sz w:val="24"/>
          <w:szCs w:val="24"/>
        </w:rPr>
        <w:t xml:space="preserve">ратегије на који су затражена мишљења свих релевантних институција и која је, након прибављених мишљења, послата </w:t>
      </w:r>
      <w:r>
        <w:rPr>
          <w:rFonts w:ascii="Times New Roman" w:hAnsi="Times New Roman"/>
          <w:sz w:val="24"/>
          <w:szCs w:val="24"/>
        </w:rPr>
        <w:t>у форми</w:t>
      </w:r>
      <w:r>
        <w:rPr>
          <w:rFonts w:ascii="Times New Roman" w:hAnsi="Times New Roman"/>
          <w:sz w:val="24"/>
          <w:szCs w:val="24"/>
          <w:lang w:val="sr-Cyrl-CS"/>
        </w:rPr>
        <w:t xml:space="preserve"> </w:t>
      </w:r>
      <w:r w:rsidRPr="00F904B1">
        <w:rPr>
          <w:rFonts w:ascii="Times New Roman" w:hAnsi="Times New Roman"/>
          <w:sz w:val="24"/>
          <w:szCs w:val="24"/>
        </w:rPr>
        <w:t xml:space="preserve">Предлога стратегије Влади </w:t>
      </w:r>
      <w:r w:rsidRPr="00C12630">
        <w:rPr>
          <w:rFonts w:ascii="Times New Roman" w:hAnsi="Times New Roman"/>
          <w:sz w:val="24"/>
          <w:szCs w:val="24"/>
        </w:rPr>
        <w:t>2. септембра 2014.</w:t>
      </w:r>
      <w:r w:rsidRPr="00F904B1">
        <w:rPr>
          <w:rFonts w:ascii="Times New Roman" w:hAnsi="Times New Roman"/>
          <w:sz w:val="24"/>
          <w:szCs w:val="24"/>
        </w:rPr>
        <w:t xml:space="preserve"> године на усвајање.   </w:t>
      </w:r>
    </w:p>
    <w:p w:rsidR="00BF3283" w:rsidRPr="003333A5" w:rsidRDefault="003333A5" w:rsidP="00BF3283">
      <w:pPr>
        <w:rPr>
          <w:rFonts w:ascii="Times New Roman" w:hAnsi="Times New Roman"/>
          <w:b/>
          <w:sz w:val="24"/>
          <w:szCs w:val="24"/>
          <w:lang w:val="sr-Cyrl-RS"/>
        </w:rPr>
      </w:pPr>
      <w:r w:rsidRPr="003333A5">
        <w:rPr>
          <w:rFonts w:ascii="Times New Roman" w:hAnsi="Times New Roman"/>
          <w:b/>
          <w:sz w:val="24"/>
          <w:szCs w:val="24"/>
          <w:lang w:val="sr-Cyrl-RS"/>
        </w:rPr>
        <w:t>Законодавна и регулаторна питања</w:t>
      </w:r>
    </w:p>
    <w:p w:rsidR="00BF3283" w:rsidRPr="00593C1D" w:rsidRDefault="00BF3283" w:rsidP="00BF3283">
      <w:pPr>
        <w:jc w:val="both"/>
        <w:rPr>
          <w:rFonts w:ascii="Times New Roman" w:hAnsi="Times New Roman"/>
          <w:sz w:val="24"/>
          <w:szCs w:val="24"/>
          <w:lang w:val="sr-Cyrl-RS"/>
        </w:rPr>
      </w:pPr>
      <w:r w:rsidRPr="00593C1D">
        <w:rPr>
          <w:rFonts w:ascii="Times New Roman" w:hAnsi="Times New Roman"/>
          <w:sz w:val="24"/>
          <w:szCs w:val="24"/>
          <w:lang w:val="sr-Cyrl-RS"/>
        </w:rPr>
        <w:t xml:space="preserve">Први </w:t>
      </w:r>
      <w:r w:rsidRPr="00593C1D">
        <w:rPr>
          <w:rFonts w:ascii="Times New Roman" w:hAnsi="Times New Roman"/>
          <w:sz w:val="24"/>
          <w:szCs w:val="24"/>
        </w:rPr>
        <w:t xml:space="preserve"> </w:t>
      </w:r>
      <w:r w:rsidRPr="00C92791">
        <w:rPr>
          <w:rFonts w:ascii="Times New Roman" w:hAnsi="Times New Roman"/>
          <w:sz w:val="24"/>
          <w:szCs w:val="24"/>
          <w:lang w:val="sr-Cyrl-RS"/>
        </w:rPr>
        <w:t>Извештај о спроведеном надзору над применом Закона о јавним набавкама у 2013. години,</w:t>
      </w:r>
      <w:r w:rsidRPr="00593C1D">
        <w:rPr>
          <w:rFonts w:ascii="Times New Roman" w:hAnsi="Times New Roman"/>
          <w:sz w:val="24"/>
          <w:szCs w:val="24"/>
          <w:lang w:val="sr-Cyrl-RS"/>
        </w:rPr>
        <w:t xml:space="preserve"> </w:t>
      </w:r>
      <w:r>
        <w:rPr>
          <w:rFonts w:ascii="Times New Roman" w:hAnsi="Times New Roman"/>
          <w:sz w:val="24"/>
          <w:szCs w:val="24"/>
          <w:lang w:val="sr-Cyrl-RS"/>
        </w:rPr>
        <w:t>Управа</w:t>
      </w:r>
      <w:r w:rsidRPr="00593C1D">
        <w:rPr>
          <w:rFonts w:ascii="Times New Roman" w:hAnsi="Times New Roman"/>
          <w:sz w:val="24"/>
          <w:szCs w:val="24"/>
          <w:lang w:val="sr-Cyrl-RS"/>
        </w:rPr>
        <w:t xml:space="preserve"> је доставила Народној скупштини и Влади</w:t>
      </w:r>
      <w:r w:rsidRPr="00593C1D">
        <w:rPr>
          <w:rFonts w:ascii="Times New Roman" w:hAnsi="Times New Roman"/>
          <w:sz w:val="24"/>
          <w:szCs w:val="24"/>
        </w:rPr>
        <w:t xml:space="preserve"> </w:t>
      </w:r>
      <w:r w:rsidRPr="00593C1D">
        <w:rPr>
          <w:rFonts w:ascii="Times New Roman" w:hAnsi="Times New Roman"/>
          <w:sz w:val="24"/>
          <w:szCs w:val="24"/>
          <w:lang w:val="sr-Cyrl-RS"/>
        </w:rPr>
        <w:t xml:space="preserve">Републике Србије 30. априла 2014, у складу са чланом </w:t>
      </w:r>
      <w:r w:rsidRPr="00593C1D">
        <w:rPr>
          <w:rFonts w:ascii="Times New Roman" w:hAnsi="Times New Roman"/>
          <w:sz w:val="24"/>
          <w:szCs w:val="24"/>
        </w:rPr>
        <w:t>136</w:t>
      </w:r>
      <w:r>
        <w:rPr>
          <w:rFonts w:ascii="Times New Roman" w:hAnsi="Times New Roman"/>
          <w:sz w:val="24"/>
          <w:szCs w:val="24"/>
          <w:lang w:val="sr-Cyrl-CS"/>
        </w:rPr>
        <w:t>.</w:t>
      </w:r>
      <w:r w:rsidRPr="00593C1D">
        <w:rPr>
          <w:rFonts w:ascii="Times New Roman" w:hAnsi="Times New Roman"/>
          <w:sz w:val="24"/>
          <w:szCs w:val="24"/>
        </w:rPr>
        <w:t xml:space="preserve"> </w:t>
      </w:r>
      <w:r>
        <w:rPr>
          <w:rFonts w:ascii="Times New Roman" w:hAnsi="Times New Roman"/>
          <w:sz w:val="24"/>
          <w:szCs w:val="24"/>
          <w:lang w:val="sr-Cyrl-RS"/>
        </w:rPr>
        <w:t>Закона</w:t>
      </w:r>
      <w:r w:rsidRPr="00593C1D">
        <w:rPr>
          <w:rFonts w:ascii="Times New Roman" w:hAnsi="Times New Roman"/>
          <w:sz w:val="24"/>
          <w:szCs w:val="24"/>
          <w:lang w:val="sr-Cyrl-RS"/>
        </w:rPr>
        <w:t>.</w:t>
      </w:r>
    </w:p>
    <w:p w:rsidR="00BF3283" w:rsidRPr="00593C1D" w:rsidRDefault="00BF3283" w:rsidP="00BF3283">
      <w:pPr>
        <w:jc w:val="both"/>
        <w:rPr>
          <w:rFonts w:ascii="Times New Roman" w:hAnsi="Times New Roman"/>
          <w:sz w:val="24"/>
          <w:szCs w:val="24"/>
          <w:lang w:val="sr-Cyrl-RS"/>
        </w:rPr>
      </w:pPr>
      <w:r w:rsidRPr="00593C1D">
        <w:rPr>
          <w:rFonts w:ascii="Times New Roman" w:hAnsi="Times New Roman"/>
          <w:sz w:val="24"/>
          <w:szCs w:val="24"/>
          <w:lang w:val="sr-Cyrl-RS"/>
        </w:rPr>
        <w:t xml:space="preserve">На основу </w:t>
      </w:r>
      <w:r>
        <w:rPr>
          <w:rFonts w:ascii="Times New Roman" w:hAnsi="Times New Roman"/>
          <w:sz w:val="24"/>
          <w:szCs w:val="24"/>
          <w:lang w:val="sr-Cyrl-RS"/>
        </w:rPr>
        <w:t>Закона</w:t>
      </w:r>
      <w:r w:rsidRPr="00593C1D">
        <w:rPr>
          <w:rFonts w:ascii="Times New Roman" w:hAnsi="Times New Roman"/>
          <w:sz w:val="24"/>
          <w:szCs w:val="24"/>
          <w:lang w:val="sr-Cyrl-RS"/>
        </w:rPr>
        <w:t xml:space="preserve">, </w:t>
      </w:r>
      <w:r>
        <w:rPr>
          <w:rFonts w:ascii="Times New Roman" w:hAnsi="Times New Roman"/>
          <w:sz w:val="24"/>
          <w:szCs w:val="24"/>
          <w:lang w:val="sr-Cyrl-RS"/>
        </w:rPr>
        <w:t xml:space="preserve">Управа </w:t>
      </w:r>
      <w:r w:rsidRPr="00593C1D">
        <w:rPr>
          <w:rFonts w:ascii="Times New Roman" w:hAnsi="Times New Roman"/>
          <w:sz w:val="24"/>
          <w:szCs w:val="24"/>
          <w:lang w:val="sr-Cyrl-RS"/>
        </w:rPr>
        <w:t>је, у складу са повереним надлежностима, усвојила следеће нове подзаконске акте:</w:t>
      </w:r>
    </w:p>
    <w:p w:rsidR="00BF3283" w:rsidRPr="00593C1D" w:rsidRDefault="00BF3283" w:rsidP="00BF3283">
      <w:pPr>
        <w:pStyle w:val="ListParagraph"/>
        <w:numPr>
          <w:ilvl w:val="0"/>
          <w:numId w:val="6"/>
        </w:numPr>
        <w:rPr>
          <w:rFonts w:ascii="Times New Roman" w:hAnsi="Times New Roman"/>
          <w:sz w:val="24"/>
          <w:szCs w:val="24"/>
        </w:rPr>
      </w:pPr>
      <w:r w:rsidRPr="00593C1D">
        <w:rPr>
          <w:rFonts w:ascii="Times New Roman" w:hAnsi="Times New Roman"/>
          <w:sz w:val="24"/>
          <w:szCs w:val="24"/>
        </w:rPr>
        <w:t>Правилник о начину и програму стручног оспособљавања и начину полагања стручног испита за службеника за јавне набавке (“</w:t>
      </w:r>
      <w:r w:rsidRPr="00593C1D">
        <w:rPr>
          <w:rFonts w:ascii="Times New Roman" w:hAnsi="Times New Roman"/>
          <w:sz w:val="24"/>
          <w:szCs w:val="24"/>
          <w:lang w:val="sr-Cyrl-RS"/>
        </w:rPr>
        <w:t>Службени гласник РС</w:t>
      </w:r>
      <w:r w:rsidRPr="00593C1D">
        <w:rPr>
          <w:rFonts w:ascii="Times New Roman" w:hAnsi="Times New Roman"/>
          <w:sz w:val="24"/>
          <w:szCs w:val="24"/>
        </w:rPr>
        <w:t xml:space="preserve">”, </w:t>
      </w:r>
      <w:r w:rsidRPr="00593C1D">
        <w:rPr>
          <w:rFonts w:ascii="Times New Roman" w:hAnsi="Times New Roman"/>
          <w:sz w:val="24"/>
          <w:szCs w:val="24"/>
          <w:lang w:val="sr-Cyrl-RS"/>
        </w:rPr>
        <w:t>бр</w:t>
      </w:r>
      <w:r w:rsidRPr="00593C1D">
        <w:rPr>
          <w:rFonts w:ascii="Times New Roman" w:hAnsi="Times New Roman"/>
          <w:sz w:val="24"/>
          <w:szCs w:val="24"/>
        </w:rPr>
        <w:t>. 77/2014)</w:t>
      </w:r>
    </w:p>
    <w:p w:rsidR="00BF3283" w:rsidRPr="00593C1D" w:rsidRDefault="00BF3283" w:rsidP="00BF3283">
      <w:pPr>
        <w:pStyle w:val="ListParagraph"/>
        <w:numPr>
          <w:ilvl w:val="0"/>
          <w:numId w:val="6"/>
        </w:numPr>
        <w:jc w:val="both"/>
        <w:rPr>
          <w:rFonts w:ascii="Times New Roman" w:hAnsi="Times New Roman"/>
          <w:sz w:val="24"/>
          <w:szCs w:val="24"/>
        </w:rPr>
      </w:pPr>
      <w:r w:rsidRPr="00593C1D">
        <w:rPr>
          <w:rFonts w:ascii="Times New Roman" w:hAnsi="Times New Roman"/>
          <w:sz w:val="24"/>
          <w:szCs w:val="24"/>
        </w:rPr>
        <w:t>Правилник о садржини одлуке о заједничком спровођењу поступка јавне набавке од стране више наручилаца (“</w:t>
      </w:r>
      <w:r w:rsidRPr="00593C1D">
        <w:rPr>
          <w:rFonts w:ascii="Times New Roman" w:hAnsi="Times New Roman"/>
          <w:sz w:val="24"/>
          <w:szCs w:val="24"/>
          <w:lang w:val="sr-Cyrl-RS"/>
        </w:rPr>
        <w:t>Службени гласник РС</w:t>
      </w:r>
      <w:r w:rsidRPr="00593C1D">
        <w:rPr>
          <w:rFonts w:ascii="Times New Roman" w:hAnsi="Times New Roman"/>
          <w:sz w:val="24"/>
          <w:szCs w:val="24"/>
        </w:rPr>
        <w:t xml:space="preserve">”, </w:t>
      </w:r>
      <w:r w:rsidRPr="00593C1D">
        <w:rPr>
          <w:rFonts w:ascii="Times New Roman" w:hAnsi="Times New Roman"/>
          <w:sz w:val="24"/>
          <w:szCs w:val="24"/>
          <w:lang w:val="sr-Cyrl-RS"/>
        </w:rPr>
        <w:t>бр.</w:t>
      </w:r>
      <w:r w:rsidRPr="00593C1D">
        <w:rPr>
          <w:rFonts w:ascii="Times New Roman" w:hAnsi="Times New Roman"/>
          <w:sz w:val="24"/>
          <w:szCs w:val="24"/>
        </w:rPr>
        <w:t xml:space="preserve"> 44/2014)</w:t>
      </w:r>
    </w:p>
    <w:p w:rsidR="00BF3283" w:rsidRPr="00593C1D" w:rsidRDefault="00BF3283" w:rsidP="00BF3283">
      <w:pPr>
        <w:jc w:val="both"/>
        <w:rPr>
          <w:rFonts w:ascii="Times New Roman" w:hAnsi="Times New Roman"/>
          <w:sz w:val="24"/>
          <w:szCs w:val="24"/>
          <w:lang w:val="sr-Cyrl-RS"/>
        </w:rPr>
      </w:pPr>
      <w:r w:rsidRPr="00593C1D">
        <w:rPr>
          <w:rFonts w:ascii="Times New Roman" w:hAnsi="Times New Roman"/>
          <w:sz w:val="24"/>
          <w:szCs w:val="24"/>
          <w:lang w:val="sr-Cyrl-RS"/>
        </w:rPr>
        <w:t>Напомена:</w:t>
      </w:r>
      <w:r w:rsidRPr="00593C1D">
        <w:rPr>
          <w:rFonts w:ascii="Times New Roman" w:hAnsi="Times New Roman"/>
          <w:sz w:val="24"/>
          <w:szCs w:val="24"/>
        </w:rPr>
        <w:t xml:space="preserve"> </w:t>
      </w:r>
      <w:r>
        <w:rPr>
          <w:rFonts w:ascii="Times New Roman" w:hAnsi="Times New Roman"/>
          <w:sz w:val="24"/>
          <w:szCs w:val="24"/>
          <w:lang w:val="sr-Cyrl-RS"/>
        </w:rPr>
        <w:t>Управа</w:t>
      </w:r>
      <w:r w:rsidRPr="00D705C7">
        <w:rPr>
          <w:rFonts w:ascii="Times New Roman" w:hAnsi="Times New Roman"/>
          <w:sz w:val="24"/>
          <w:szCs w:val="24"/>
          <w:lang w:val="sr-Cyrl-RS"/>
        </w:rPr>
        <w:t xml:space="preserve"> </w:t>
      </w:r>
      <w:r w:rsidRPr="00593C1D">
        <w:rPr>
          <w:rFonts w:ascii="Times New Roman" w:hAnsi="Times New Roman"/>
          <w:sz w:val="24"/>
          <w:szCs w:val="24"/>
          <w:lang w:val="sr-Cyrl-RS"/>
        </w:rPr>
        <w:t xml:space="preserve">предузима припремне активности у вези </w:t>
      </w:r>
      <w:r>
        <w:rPr>
          <w:rFonts w:ascii="Times New Roman" w:hAnsi="Times New Roman"/>
          <w:sz w:val="24"/>
          <w:szCs w:val="24"/>
          <w:lang w:val="sr-Cyrl-RS"/>
        </w:rPr>
        <w:t>са организовањем</w:t>
      </w:r>
      <w:r w:rsidRPr="00593C1D">
        <w:rPr>
          <w:rFonts w:ascii="Times New Roman" w:hAnsi="Times New Roman"/>
          <w:sz w:val="24"/>
          <w:szCs w:val="24"/>
          <w:lang w:val="sr-Cyrl-RS"/>
        </w:rPr>
        <w:t xml:space="preserve"> испита за службенике за јавне набавке, у складу са усвојеним подзаконским актом.</w:t>
      </w:r>
    </w:p>
    <w:p w:rsidR="00BF3283" w:rsidRPr="00593C1D" w:rsidRDefault="00BF3283" w:rsidP="00BF3283">
      <w:pPr>
        <w:rPr>
          <w:rFonts w:ascii="Times New Roman" w:hAnsi="Times New Roman"/>
          <w:sz w:val="24"/>
          <w:szCs w:val="24"/>
        </w:rPr>
      </w:pPr>
      <w:r w:rsidRPr="00593C1D">
        <w:rPr>
          <w:rFonts w:ascii="Times New Roman" w:hAnsi="Times New Roman"/>
          <w:sz w:val="24"/>
          <w:szCs w:val="24"/>
          <w:lang w:val="sr-Cyrl-RS"/>
        </w:rPr>
        <w:t xml:space="preserve">На основу </w:t>
      </w:r>
      <w:r>
        <w:rPr>
          <w:rFonts w:ascii="Times New Roman" w:hAnsi="Times New Roman"/>
          <w:sz w:val="24"/>
          <w:szCs w:val="24"/>
          <w:lang w:val="sr-Cyrl-RS"/>
        </w:rPr>
        <w:t>Закона</w:t>
      </w:r>
      <w:r w:rsidRPr="00593C1D">
        <w:rPr>
          <w:rFonts w:ascii="Times New Roman" w:hAnsi="Times New Roman"/>
          <w:sz w:val="24"/>
          <w:szCs w:val="24"/>
          <w:lang w:val="sr-Cyrl-RS"/>
        </w:rPr>
        <w:t>, Влада Републике Србије усвојила је следеће подзаконске акте</w:t>
      </w:r>
      <w:r w:rsidRPr="00593C1D">
        <w:rPr>
          <w:rFonts w:ascii="Times New Roman" w:hAnsi="Times New Roman"/>
          <w:sz w:val="24"/>
          <w:szCs w:val="24"/>
        </w:rPr>
        <w:t>:</w:t>
      </w:r>
    </w:p>
    <w:p w:rsidR="00BF3283" w:rsidRPr="00593C1D" w:rsidRDefault="00BF3283" w:rsidP="00BF3283">
      <w:pPr>
        <w:pStyle w:val="ListParagraph"/>
        <w:numPr>
          <w:ilvl w:val="0"/>
          <w:numId w:val="9"/>
        </w:numPr>
        <w:jc w:val="both"/>
        <w:rPr>
          <w:rFonts w:ascii="Times New Roman" w:hAnsi="Times New Roman"/>
          <w:sz w:val="24"/>
          <w:szCs w:val="24"/>
        </w:rPr>
      </w:pPr>
      <w:r w:rsidRPr="00593C1D">
        <w:rPr>
          <w:rFonts w:ascii="Times New Roman" w:hAnsi="Times New Roman"/>
          <w:sz w:val="24"/>
          <w:szCs w:val="24"/>
          <w:lang w:val="sr-Cyrl-RS"/>
        </w:rPr>
        <w:t>Уредба о утврђивању општег речника набавке</w:t>
      </w:r>
      <w:r w:rsidRPr="00593C1D">
        <w:rPr>
          <w:rFonts w:ascii="Times New Roman" w:hAnsi="Times New Roman"/>
          <w:sz w:val="24"/>
          <w:szCs w:val="24"/>
        </w:rPr>
        <w:t xml:space="preserve"> (“</w:t>
      </w:r>
      <w:r w:rsidRPr="00593C1D">
        <w:rPr>
          <w:rFonts w:ascii="Times New Roman" w:hAnsi="Times New Roman"/>
          <w:sz w:val="24"/>
          <w:szCs w:val="24"/>
          <w:lang w:val="sr-Cyrl-RS"/>
        </w:rPr>
        <w:t>Службени гласник</w:t>
      </w:r>
      <w:r w:rsidRPr="00593C1D">
        <w:rPr>
          <w:rFonts w:ascii="Times New Roman" w:hAnsi="Times New Roman"/>
          <w:sz w:val="24"/>
          <w:szCs w:val="24"/>
        </w:rPr>
        <w:t xml:space="preserve">”, </w:t>
      </w:r>
      <w:r w:rsidRPr="00593C1D">
        <w:rPr>
          <w:rFonts w:ascii="Times New Roman" w:hAnsi="Times New Roman"/>
          <w:sz w:val="24"/>
          <w:szCs w:val="24"/>
          <w:lang w:val="sr-Cyrl-RS"/>
        </w:rPr>
        <w:t>бр.</w:t>
      </w:r>
      <w:r w:rsidRPr="00593C1D">
        <w:rPr>
          <w:rFonts w:ascii="Times New Roman" w:hAnsi="Times New Roman"/>
          <w:sz w:val="24"/>
          <w:szCs w:val="24"/>
        </w:rPr>
        <w:t xml:space="preserve"> 56/2014)</w:t>
      </w:r>
    </w:p>
    <w:p w:rsidR="00BF3283" w:rsidRPr="00593C1D" w:rsidRDefault="00BF3283" w:rsidP="00BF3283">
      <w:pPr>
        <w:pStyle w:val="ListParagraph"/>
        <w:numPr>
          <w:ilvl w:val="0"/>
          <w:numId w:val="9"/>
        </w:numPr>
        <w:jc w:val="both"/>
        <w:rPr>
          <w:rFonts w:ascii="Times New Roman" w:hAnsi="Times New Roman"/>
          <w:sz w:val="24"/>
          <w:szCs w:val="24"/>
        </w:rPr>
      </w:pPr>
      <w:r w:rsidRPr="00593C1D">
        <w:rPr>
          <w:rFonts w:ascii="Times New Roman" w:hAnsi="Times New Roman"/>
          <w:sz w:val="24"/>
          <w:szCs w:val="24"/>
        </w:rPr>
        <w:t>Уредба о поступку јавне набавке у области одбране и безбедности  (“</w:t>
      </w:r>
      <w:r w:rsidRPr="00593C1D">
        <w:rPr>
          <w:rFonts w:ascii="Times New Roman" w:hAnsi="Times New Roman"/>
          <w:sz w:val="24"/>
          <w:szCs w:val="24"/>
          <w:lang w:val="sr-Cyrl-RS"/>
        </w:rPr>
        <w:t>Службени гласник РС</w:t>
      </w:r>
      <w:r w:rsidRPr="00593C1D">
        <w:rPr>
          <w:rFonts w:ascii="Times New Roman" w:hAnsi="Times New Roman"/>
          <w:sz w:val="24"/>
          <w:szCs w:val="24"/>
        </w:rPr>
        <w:t xml:space="preserve">”, </w:t>
      </w:r>
      <w:r w:rsidRPr="00593C1D">
        <w:rPr>
          <w:rFonts w:ascii="Times New Roman" w:hAnsi="Times New Roman"/>
          <w:sz w:val="24"/>
          <w:szCs w:val="24"/>
          <w:lang w:val="sr-Cyrl-RS"/>
        </w:rPr>
        <w:t>бр.</w:t>
      </w:r>
      <w:r w:rsidRPr="00593C1D">
        <w:rPr>
          <w:rFonts w:ascii="Times New Roman" w:hAnsi="Times New Roman"/>
          <w:sz w:val="24"/>
          <w:szCs w:val="24"/>
        </w:rPr>
        <w:t xml:space="preserve"> 82/2014)</w:t>
      </w:r>
    </w:p>
    <w:p w:rsidR="00BF3283" w:rsidRPr="00593C1D" w:rsidRDefault="00BF3283" w:rsidP="00BF3283">
      <w:pPr>
        <w:jc w:val="both"/>
        <w:rPr>
          <w:rFonts w:ascii="Times New Roman" w:hAnsi="Times New Roman"/>
          <w:sz w:val="24"/>
          <w:szCs w:val="24"/>
          <w:lang w:val="sr-Cyrl-RS"/>
        </w:rPr>
      </w:pPr>
      <w:r w:rsidRPr="00593C1D">
        <w:rPr>
          <w:rFonts w:ascii="Times New Roman" w:hAnsi="Times New Roman"/>
          <w:sz w:val="24"/>
          <w:szCs w:val="24"/>
          <w:lang w:val="sr-Cyrl-RS"/>
        </w:rPr>
        <w:t>На основу Закона о буџетском систему</w:t>
      </w:r>
      <w:r w:rsidRPr="00593C1D">
        <w:rPr>
          <w:rFonts w:ascii="Times New Roman" w:hAnsi="Times New Roman"/>
          <w:sz w:val="24"/>
          <w:szCs w:val="24"/>
        </w:rPr>
        <w:t xml:space="preserve">, </w:t>
      </w:r>
      <w:r w:rsidRPr="00593C1D">
        <w:rPr>
          <w:rFonts w:ascii="Times New Roman" w:hAnsi="Times New Roman"/>
          <w:sz w:val="24"/>
          <w:szCs w:val="24"/>
          <w:lang w:val="sr-Cyrl-RS"/>
        </w:rPr>
        <w:t xml:space="preserve">Влада Републике Србије усвојила је </w:t>
      </w:r>
      <w:r w:rsidRPr="00593C1D">
        <w:rPr>
          <w:rFonts w:ascii="Times New Roman" w:hAnsi="Times New Roman"/>
          <w:sz w:val="24"/>
          <w:szCs w:val="24"/>
        </w:rPr>
        <w:t xml:space="preserve"> </w:t>
      </w:r>
      <w:r w:rsidRPr="00593C1D">
        <w:rPr>
          <w:rFonts w:ascii="Times New Roman" w:hAnsi="Times New Roman"/>
          <w:sz w:val="24"/>
          <w:szCs w:val="24"/>
          <w:lang w:val="sr-Cyrl-RS"/>
        </w:rPr>
        <w:t>следећи подзаконски акт</w:t>
      </w:r>
      <w:r w:rsidRPr="00593C1D">
        <w:rPr>
          <w:rFonts w:ascii="Times New Roman" w:hAnsi="Times New Roman"/>
          <w:sz w:val="24"/>
          <w:szCs w:val="24"/>
        </w:rPr>
        <w:t xml:space="preserve"> </w:t>
      </w:r>
      <w:r w:rsidRPr="00593C1D">
        <w:rPr>
          <w:rFonts w:ascii="Times New Roman" w:hAnsi="Times New Roman"/>
          <w:sz w:val="24"/>
          <w:szCs w:val="24"/>
          <w:lang w:val="sr-Cyrl-RS"/>
        </w:rPr>
        <w:t xml:space="preserve">који се односи на </w:t>
      </w:r>
      <w:r w:rsidR="00C15892">
        <w:rPr>
          <w:rFonts w:ascii="Times New Roman" w:hAnsi="Times New Roman"/>
          <w:sz w:val="24"/>
          <w:szCs w:val="24"/>
          <w:lang w:val="sr-Cyrl-RS"/>
        </w:rPr>
        <w:t xml:space="preserve">област </w:t>
      </w:r>
      <w:r w:rsidRPr="00593C1D">
        <w:rPr>
          <w:rFonts w:ascii="Times New Roman" w:hAnsi="Times New Roman"/>
          <w:sz w:val="24"/>
          <w:szCs w:val="24"/>
          <w:lang w:val="sr-Cyrl-RS"/>
        </w:rPr>
        <w:t>јавн</w:t>
      </w:r>
      <w:r w:rsidR="00C15892">
        <w:rPr>
          <w:rFonts w:ascii="Times New Roman" w:hAnsi="Times New Roman"/>
          <w:sz w:val="24"/>
          <w:szCs w:val="24"/>
          <w:lang w:val="sr-Cyrl-RS"/>
        </w:rPr>
        <w:t>их</w:t>
      </w:r>
      <w:r w:rsidRPr="00593C1D">
        <w:rPr>
          <w:rFonts w:ascii="Times New Roman" w:hAnsi="Times New Roman"/>
          <w:sz w:val="24"/>
          <w:szCs w:val="24"/>
          <w:lang w:val="sr-Cyrl-RS"/>
        </w:rPr>
        <w:t xml:space="preserve"> набавк</w:t>
      </w:r>
      <w:r w:rsidR="00C15892">
        <w:rPr>
          <w:rFonts w:ascii="Times New Roman" w:hAnsi="Times New Roman"/>
          <w:sz w:val="24"/>
          <w:szCs w:val="24"/>
          <w:lang w:val="sr-Cyrl-RS"/>
        </w:rPr>
        <w:t xml:space="preserve">и </w:t>
      </w:r>
      <w:r w:rsidRPr="00593C1D">
        <w:rPr>
          <w:rFonts w:ascii="Times New Roman" w:hAnsi="Times New Roman"/>
          <w:sz w:val="24"/>
          <w:szCs w:val="24"/>
        </w:rPr>
        <w:t>(</w:t>
      </w:r>
      <w:r w:rsidRPr="00593C1D">
        <w:rPr>
          <w:rFonts w:ascii="Times New Roman" w:hAnsi="Times New Roman"/>
          <w:sz w:val="24"/>
          <w:szCs w:val="24"/>
          <w:lang w:val="sr-Cyrl-RS"/>
        </w:rPr>
        <w:t>закључење вишегодишњих уговора</w:t>
      </w:r>
      <w:r w:rsidRPr="00593C1D">
        <w:rPr>
          <w:rFonts w:ascii="Times New Roman" w:hAnsi="Times New Roman"/>
          <w:sz w:val="24"/>
          <w:szCs w:val="24"/>
        </w:rPr>
        <w:t>):</w:t>
      </w:r>
    </w:p>
    <w:p w:rsidR="00BF3283" w:rsidRPr="00593C1D" w:rsidRDefault="00BF3283" w:rsidP="00BF3283">
      <w:pPr>
        <w:pStyle w:val="ListParagraph"/>
        <w:numPr>
          <w:ilvl w:val="0"/>
          <w:numId w:val="7"/>
        </w:numPr>
        <w:jc w:val="both"/>
        <w:rPr>
          <w:rFonts w:ascii="Times New Roman" w:hAnsi="Times New Roman"/>
          <w:sz w:val="24"/>
          <w:szCs w:val="24"/>
        </w:rPr>
      </w:pPr>
      <w:r w:rsidRPr="00593C1D">
        <w:rPr>
          <w:rFonts w:ascii="Times New Roman" w:hAnsi="Times New Roman"/>
          <w:sz w:val="24"/>
          <w:szCs w:val="24"/>
          <w:lang w:val="sr-Cyrl-RS"/>
        </w:rPr>
        <w:t xml:space="preserve">Уредба о критеријумима за утврђивање природе расхода и условима и начину прибављања сагласности за закључивање одређених уговора, који због природе расхода захтевају плаћање у више година </w:t>
      </w:r>
      <w:r w:rsidRPr="00593C1D">
        <w:rPr>
          <w:rFonts w:ascii="Times New Roman" w:hAnsi="Times New Roman"/>
          <w:sz w:val="24"/>
          <w:szCs w:val="24"/>
        </w:rPr>
        <w:t>(“</w:t>
      </w:r>
      <w:r w:rsidRPr="00593C1D">
        <w:rPr>
          <w:rFonts w:ascii="Times New Roman" w:hAnsi="Times New Roman"/>
          <w:sz w:val="24"/>
          <w:szCs w:val="24"/>
          <w:lang w:val="sr-Cyrl-RS"/>
        </w:rPr>
        <w:t>Службени гласник</w:t>
      </w:r>
      <w:r w:rsidRPr="00593C1D">
        <w:rPr>
          <w:rFonts w:ascii="Times New Roman" w:hAnsi="Times New Roman"/>
          <w:sz w:val="24"/>
          <w:szCs w:val="24"/>
        </w:rPr>
        <w:t xml:space="preserve">”, </w:t>
      </w:r>
      <w:r w:rsidRPr="00593C1D">
        <w:rPr>
          <w:rFonts w:ascii="Times New Roman" w:hAnsi="Times New Roman"/>
          <w:sz w:val="24"/>
          <w:szCs w:val="24"/>
          <w:lang w:val="sr-Cyrl-RS"/>
        </w:rPr>
        <w:t>бр</w:t>
      </w:r>
      <w:r w:rsidRPr="00593C1D">
        <w:rPr>
          <w:rFonts w:ascii="Times New Roman" w:hAnsi="Times New Roman"/>
          <w:sz w:val="24"/>
          <w:szCs w:val="24"/>
        </w:rPr>
        <w:t>.21/2014)</w:t>
      </w:r>
    </w:p>
    <w:p w:rsidR="00BF3283" w:rsidRPr="00593C1D" w:rsidRDefault="00BF3283" w:rsidP="00BF3283">
      <w:pPr>
        <w:jc w:val="both"/>
        <w:rPr>
          <w:rFonts w:ascii="Times New Roman" w:hAnsi="Times New Roman"/>
          <w:sz w:val="24"/>
          <w:szCs w:val="24"/>
          <w:lang w:val="sr-Cyrl-RS"/>
        </w:rPr>
      </w:pPr>
      <w:r w:rsidRPr="00593C1D">
        <w:rPr>
          <w:rFonts w:ascii="Times New Roman" w:hAnsi="Times New Roman"/>
          <w:sz w:val="24"/>
          <w:szCs w:val="24"/>
          <w:lang w:val="sr-Cyrl-RS"/>
        </w:rPr>
        <w:t xml:space="preserve">У припреми свих поменутих </w:t>
      </w:r>
      <w:r w:rsidRPr="009A7092">
        <w:rPr>
          <w:rFonts w:ascii="Times New Roman" w:hAnsi="Times New Roman"/>
          <w:sz w:val="24"/>
          <w:szCs w:val="24"/>
          <w:lang w:val="sr-Cyrl-RS"/>
        </w:rPr>
        <w:t>подзаконских</w:t>
      </w:r>
      <w:r w:rsidRPr="00593C1D">
        <w:rPr>
          <w:rFonts w:ascii="Times New Roman" w:hAnsi="Times New Roman"/>
          <w:sz w:val="24"/>
          <w:szCs w:val="24"/>
          <w:lang w:val="sr-Cyrl-RS"/>
        </w:rPr>
        <w:t xml:space="preserve"> аката, </w:t>
      </w:r>
      <w:r>
        <w:rPr>
          <w:rFonts w:ascii="Times New Roman" w:hAnsi="Times New Roman"/>
          <w:sz w:val="24"/>
          <w:szCs w:val="24"/>
          <w:lang w:val="sr-Cyrl-RS"/>
        </w:rPr>
        <w:t>Управа</w:t>
      </w:r>
      <w:r w:rsidRPr="00593C1D">
        <w:rPr>
          <w:rFonts w:ascii="Times New Roman" w:hAnsi="Times New Roman"/>
          <w:sz w:val="24"/>
          <w:szCs w:val="24"/>
        </w:rPr>
        <w:t xml:space="preserve"> </w:t>
      </w:r>
      <w:r w:rsidRPr="00593C1D">
        <w:rPr>
          <w:rFonts w:ascii="Times New Roman" w:hAnsi="Times New Roman"/>
          <w:sz w:val="24"/>
          <w:szCs w:val="24"/>
          <w:lang w:val="sr-Cyrl-RS"/>
        </w:rPr>
        <w:t>је активно учествовала као централно тело за спровођење политике јавних набавки</w:t>
      </w:r>
      <w:r>
        <w:rPr>
          <w:rFonts w:ascii="Times New Roman" w:hAnsi="Times New Roman"/>
          <w:sz w:val="24"/>
          <w:szCs w:val="24"/>
          <w:lang w:val="sr-Cyrl-RS"/>
        </w:rPr>
        <w:t>.</w:t>
      </w:r>
    </w:p>
    <w:p w:rsidR="00BF3283" w:rsidRPr="009A7092" w:rsidRDefault="00BF3283" w:rsidP="00BF3283">
      <w:pPr>
        <w:jc w:val="both"/>
        <w:rPr>
          <w:rFonts w:ascii="Times New Roman" w:hAnsi="Times New Roman"/>
          <w:sz w:val="24"/>
          <w:szCs w:val="24"/>
        </w:rPr>
      </w:pPr>
      <w:r w:rsidRPr="00593C1D">
        <w:rPr>
          <w:rFonts w:ascii="Times New Roman" w:hAnsi="Times New Roman"/>
          <w:sz w:val="24"/>
          <w:szCs w:val="24"/>
          <w:lang w:val="sr-Cyrl-RS"/>
        </w:rPr>
        <w:t>Можемо закључити</w:t>
      </w:r>
      <w:r w:rsidRPr="00593C1D">
        <w:rPr>
          <w:rFonts w:ascii="Times New Roman" w:hAnsi="Times New Roman"/>
          <w:sz w:val="24"/>
          <w:szCs w:val="24"/>
        </w:rPr>
        <w:t xml:space="preserve"> </w:t>
      </w:r>
      <w:r w:rsidRPr="00593C1D">
        <w:rPr>
          <w:rFonts w:ascii="Times New Roman" w:hAnsi="Times New Roman"/>
          <w:sz w:val="24"/>
          <w:szCs w:val="24"/>
          <w:lang w:val="sr-Cyrl-RS"/>
        </w:rPr>
        <w:t>да су</w:t>
      </w:r>
      <w:r>
        <w:rPr>
          <w:rFonts w:ascii="Times New Roman" w:hAnsi="Times New Roman"/>
          <w:sz w:val="24"/>
          <w:szCs w:val="24"/>
          <w:lang w:val="sr-Cyrl-RS"/>
        </w:rPr>
        <w:t xml:space="preserve"> </w:t>
      </w:r>
      <w:r w:rsidR="004B577C">
        <w:rPr>
          <w:rFonts w:ascii="Times New Roman" w:hAnsi="Times New Roman"/>
          <w:sz w:val="24"/>
          <w:szCs w:val="24"/>
          <w:lang w:val="sr-Cyrl-RS"/>
        </w:rPr>
        <w:t>усвојени сви под</w:t>
      </w:r>
      <w:r w:rsidRPr="00593C1D">
        <w:rPr>
          <w:rFonts w:ascii="Times New Roman" w:hAnsi="Times New Roman"/>
          <w:sz w:val="24"/>
          <w:szCs w:val="24"/>
          <w:lang w:val="sr-Cyrl-RS"/>
        </w:rPr>
        <w:t xml:space="preserve">зконски акти неопходни за примену </w:t>
      </w:r>
      <w:r w:rsidRPr="00C92791">
        <w:rPr>
          <w:rFonts w:ascii="Times New Roman" w:hAnsi="Times New Roman"/>
          <w:sz w:val="24"/>
          <w:szCs w:val="24"/>
          <w:lang w:val="sr-Cyrl-RS"/>
        </w:rPr>
        <w:t>Закона</w:t>
      </w:r>
      <w:r w:rsidR="00523BED" w:rsidRPr="00C92791">
        <w:rPr>
          <w:rFonts w:ascii="Times New Roman" w:hAnsi="Times New Roman"/>
          <w:sz w:val="24"/>
          <w:szCs w:val="24"/>
          <w:lang w:val="sr-Cyrl-RS"/>
        </w:rPr>
        <w:t xml:space="preserve"> </w:t>
      </w:r>
      <w:r w:rsidRPr="00C92791">
        <w:rPr>
          <w:rFonts w:ascii="Times New Roman" w:hAnsi="Times New Roman"/>
          <w:sz w:val="24"/>
          <w:szCs w:val="24"/>
          <w:lang w:val="sr-Cyrl-RS"/>
        </w:rPr>
        <w:t xml:space="preserve">(укупно </w:t>
      </w:r>
      <w:r w:rsidR="00523BED" w:rsidRPr="00C92791">
        <w:rPr>
          <w:rFonts w:ascii="Times New Roman" w:hAnsi="Times New Roman"/>
          <w:sz w:val="24"/>
          <w:szCs w:val="24"/>
        </w:rPr>
        <w:t>15</w:t>
      </w:r>
      <w:r w:rsidRPr="00C92791">
        <w:rPr>
          <w:rFonts w:ascii="Times New Roman" w:hAnsi="Times New Roman"/>
          <w:sz w:val="24"/>
          <w:szCs w:val="24"/>
        </w:rPr>
        <w:t>),</w:t>
      </w:r>
      <w:r w:rsidRPr="00593C1D">
        <w:rPr>
          <w:rFonts w:ascii="Times New Roman" w:hAnsi="Times New Roman"/>
          <w:sz w:val="24"/>
          <w:szCs w:val="24"/>
        </w:rPr>
        <w:t xml:space="preserve"> </w:t>
      </w:r>
      <w:r w:rsidRPr="00593C1D">
        <w:rPr>
          <w:rFonts w:ascii="Times New Roman" w:hAnsi="Times New Roman"/>
          <w:sz w:val="24"/>
          <w:szCs w:val="24"/>
          <w:lang w:val="sr-Cyrl-RS"/>
        </w:rPr>
        <w:t>изузев два доленаведена</w:t>
      </w:r>
      <w:r w:rsidRPr="00593C1D">
        <w:rPr>
          <w:rFonts w:ascii="Times New Roman" w:hAnsi="Times New Roman"/>
          <w:sz w:val="24"/>
          <w:szCs w:val="24"/>
        </w:rPr>
        <w:t>:</w:t>
      </w:r>
    </w:p>
    <w:p w:rsidR="00BF3283" w:rsidRPr="009A7092" w:rsidRDefault="00BF3283" w:rsidP="00BF3283">
      <w:pPr>
        <w:pStyle w:val="ListParagraph"/>
        <w:numPr>
          <w:ilvl w:val="0"/>
          <w:numId w:val="8"/>
        </w:numPr>
        <w:jc w:val="both"/>
        <w:rPr>
          <w:rFonts w:ascii="Times New Roman" w:hAnsi="Times New Roman"/>
          <w:sz w:val="24"/>
          <w:szCs w:val="24"/>
        </w:rPr>
      </w:pPr>
      <w:r w:rsidRPr="009A7092">
        <w:rPr>
          <w:rFonts w:ascii="Times New Roman" w:hAnsi="Times New Roman"/>
          <w:sz w:val="24"/>
          <w:szCs w:val="24"/>
          <w:lang w:val="sr-Cyrl-RS"/>
        </w:rPr>
        <w:t>Списак наручилаца</w:t>
      </w:r>
      <w:r w:rsidRPr="009A7092">
        <w:rPr>
          <w:rFonts w:ascii="Times New Roman" w:hAnsi="Times New Roman"/>
          <w:sz w:val="24"/>
          <w:szCs w:val="24"/>
        </w:rPr>
        <w:t xml:space="preserve">, </w:t>
      </w:r>
      <w:r w:rsidRPr="009A7092">
        <w:rPr>
          <w:rFonts w:ascii="Times New Roman" w:hAnsi="Times New Roman"/>
          <w:sz w:val="24"/>
          <w:szCs w:val="24"/>
          <w:lang w:val="sr-Cyrl-RS"/>
        </w:rPr>
        <w:t>из чланова 2. и</w:t>
      </w:r>
      <w:r w:rsidRPr="009A7092">
        <w:rPr>
          <w:rFonts w:ascii="Times New Roman" w:hAnsi="Times New Roman"/>
          <w:sz w:val="24"/>
          <w:szCs w:val="24"/>
        </w:rPr>
        <w:t xml:space="preserve"> 117</w:t>
      </w:r>
      <w:r w:rsidRPr="009A7092">
        <w:rPr>
          <w:rFonts w:ascii="Times New Roman" w:hAnsi="Times New Roman"/>
          <w:sz w:val="24"/>
          <w:szCs w:val="24"/>
          <w:lang w:val="sr-Cyrl-RS"/>
        </w:rPr>
        <w:t>.</w:t>
      </w:r>
      <w:r w:rsidRPr="009A7092">
        <w:rPr>
          <w:rFonts w:ascii="Times New Roman" w:hAnsi="Times New Roman"/>
          <w:sz w:val="24"/>
          <w:szCs w:val="24"/>
        </w:rPr>
        <w:t xml:space="preserve"> </w:t>
      </w:r>
      <w:r>
        <w:rPr>
          <w:rFonts w:ascii="Times New Roman" w:hAnsi="Times New Roman"/>
          <w:sz w:val="24"/>
          <w:szCs w:val="24"/>
          <w:lang w:val="sr-Cyrl-RS"/>
        </w:rPr>
        <w:t>Закона</w:t>
      </w:r>
      <w:r>
        <w:rPr>
          <w:rFonts w:ascii="Times New Roman" w:hAnsi="Times New Roman"/>
          <w:sz w:val="24"/>
          <w:szCs w:val="24"/>
          <w:lang w:val="sr-Cyrl-CS"/>
        </w:rPr>
        <w:t xml:space="preserve"> који </w:t>
      </w:r>
      <w:r w:rsidRPr="009A7092">
        <w:rPr>
          <w:rFonts w:ascii="Times New Roman" w:hAnsi="Times New Roman"/>
          <w:sz w:val="24"/>
          <w:szCs w:val="24"/>
        </w:rPr>
        <w:t>утврђује Влада на предлог министарства финансија и Управе за јавне набавке на почетку буџетске године (</w:t>
      </w:r>
      <w:r w:rsidRPr="009A7092">
        <w:rPr>
          <w:rFonts w:ascii="Times New Roman" w:hAnsi="Times New Roman"/>
          <w:sz w:val="24"/>
          <w:szCs w:val="24"/>
          <w:lang w:val="sr-Cyrl-RS"/>
        </w:rPr>
        <w:t>статус</w:t>
      </w:r>
      <w:r w:rsidRPr="009A7092">
        <w:rPr>
          <w:rFonts w:ascii="Times New Roman" w:hAnsi="Times New Roman"/>
          <w:sz w:val="24"/>
          <w:szCs w:val="24"/>
        </w:rPr>
        <w:t xml:space="preserve">: </w:t>
      </w:r>
      <w:r w:rsidRPr="009A7092">
        <w:rPr>
          <w:rFonts w:ascii="Times New Roman" w:hAnsi="Times New Roman"/>
          <w:sz w:val="24"/>
          <w:szCs w:val="24"/>
          <w:lang w:val="sr-Cyrl-RS"/>
        </w:rPr>
        <w:t>у припреми</w:t>
      </w:r>
      <w:r w:rsidRPr="009A7092">
        <w:rPr>
          <w:rFonts w:ascii="Times New Roman" w:hAnsi="Times New Roman"/>
          <w:sz w:val="24"/>
          <w:szCs w:val="24"/>
        </w:rPr>
        <w:t xml:space="preserve">). </w:t>
      </w:r>
    </w:p>
    <w:p w:rsidR="00BF3283" w:rsidRPr="007C7259" w:rsidRDefault="00BF3283" w:rsidP="00BF3283">
      <w:pPr>
        <w:pStyle w:val="ListParagraph"/>
        <w:numPr>
          <w:ilvl w:val="0"/>
          <w:numId w:val="8"/>
        </w:numPr>
        <w:rPr>
          <w:rFonts w:ascii="Times New Roman" w:hAnsi="Times New Roman"/>
          <w:sz w:val="24"/>
          <w:szCs w:val="24"/>
          <w:lang w:val="en-US"/>
        </w:rPr>
      </w:pPr>
      <w:r w:rsidRPr="009A7092">
        <w:rPr>
          <w:rFonts w:ascii="Times New Roman" w:hAnsi="Times New Roman"/>
          <w:sz w:val="24"/>
          <w:szCs w:val="24"/>
          <w:lang w:val="sr-Cyrl-RS"/>
        </w:rPr>
        <w:t>Списак наручилаца  на које се примењују изузеци према члану</w:t>
      </w:r>
      <w:r w:rsidRPr="009A7092">
        <w:rPr>
          <w:rFonts w:ascii="Times New Roman" w:hAnsi="Times New Roman"/>
          <w:sz w:val="24"/>
          <w:szCs w:val="24"/>
        </w:rPr>
        <w:t xml:space="preserve"> 7, </w:t>
      </w:r>
      <w:r w:rsidRPr="009A7092">
        <w:rPr>
          <w:rFonts w:ascii="Times New Roman" w:hAnsi="Times New Roman"/>
          <w:sz w:val="24"/>
          <w:szCs w:val="24"/>
          <w:lang w:val="sr-Cyrl-RS"/>
        </w:rPr>
        <w:t>став</w:t>
      </w:r>
      <w:r w:rsidRPr="009A7092">
        <w:rPr>
          <w:rFonts w:ascii="Times New Roman" w:hAnsi="Times New Roman"/>
          <w:sz w:val="24"/>
          <w:szCs w:val="24"/>
        </w:rPr>
        <w:t xml:space="preserve"> 1, </w:t>
      </w:r>
      <w:r w:rsidRPr="009A7092">
        <w:rPr>
          <w:rFonts w:ascii="Times New Roman" w:hAnsi="Times New Roman"/>
          <w:sz w:val="24"/>
          <w:szCs w:val="24"/>
          <w:lang w:val="sr-Cyrl-RS"/>
        </w:rPr>
        <w:t>тачке</w:t>
      </w:r>
      <w:r w:rsidRPr="009A7092">
        <w:rPr>
          <w:rFonts w:ascii="Times New Roman" w:hAnsi="Times New Roman"/>
          <w:sz w:val="24"/>
          <w:szCs w:val="24"/>
        </w:rPr>
        <w:t xml:space="preserve"> 1), 6) </w:t>
      </w:r>
      <w:r w:rsidRPr="009A7092">
        <w:rPr>
          <w:rFonts w:ascii="Times New Roman" w:hAnsi="Times New Roman"/>
          <w:sz w:val="24"/>
          <w:szCs w:val="24"/>
          <w:lang w:val="sr-Cyrl-RS"/>
        </w:rPr>
        <w:t>и</w:t>
      </w:r>
      <w:r w:rsidRPr="009A7092">
        <w:rPr>
          <w:rFonts w:ascii="Times New Roman" w:hAnsi="Times New Roman"/>
          <w:sz w:val="24"/>
          <w:szCs w:val="24"/>
        </w:rPr>
        <w:t xml:space="preserve"> 7) </w:t>
      </w:r>
      <w:r>
        <w:rPr>
          <w:rFonts w:ascii="Times New Roman" w:hAnsi="Times New Roman"/>
          <w:sz w:val="24"/>
          <w:szCs w:val="24"/>
          <w:lang w:val="sr-Cyrl-RS"/>
        </w:rPr>
        <w:t>Закона</w:t>
      </w:r>
      <w:r w:rsidRPr="009A7092">
        <w:rPr>
          <w:rFonts w:ascii="Times New Roman" w:hAnsi="Times New Roman"/>
          <w:sz w:val="24"/>
          <w:szCs w:val="24"/>
        </w:rPr>
        <w:t xml:space="preserve">, </w:t>
      </w:r>
      <w:r>
        <w:rPr>
          <w:rFonts w:ascii="Times New Roman" w:hAnsi="Times New Roman"/>
          <w:sz w:val="24"/>
          <w:szCs w:val="24"/>
          <w:lang w:val="sr-Cyrl-CS"/>
        </w:rPr>
        <w:t xml:space="preserve"> који </w:t>
      </w:r>
      <w:r w:rsidRPr="009A7092">
        <w:rPr>
          <w:rFonts w:ascii="Times New Roman" w:hAnsi="Times New Roman"/>
          <w:sz w:val="24"/>
          <w:szCs w:val="24"/>
          <w:lang w:val="sr-Cyrl-RS"/>
        </w:rPr>
        <w:t xml:space="preserve">усваја Влада Републике Србије </w:t>
      </w:r>
      <w:r w:rsidRPr="009A7092">
        <w:rPr>
          <w:rFonts w:ascii="Times New Roman" w:hAnsi="Times New Roman"/>
          <w:sz w:val="24"/>
          <w:szCs w:val="24"/>
        </w:rPr>
        <w:t>(</w:t>
      </w:r>
      <w:r w:rsidRPr="009A7092">
        <w:rPr>
          <w:rFonts w:ascii="Times New Roman" w:hAnsi="Times New Roman"/>
          <w:sz w:val="24"/>
          <w:szCs w:val="24"/>
          <w:lang w:val="sr-Cyrl-RS"/>
        </w:rPr>
        <w:t>статус</w:t>
      </w:r>
      <w:r w:rsidRPr="009A7092">
        <w:rPr>
          <w:rFonts w:ascii="Times New Roman" w:hAnsi="Times New Roman"/>
          <w:sz w:val="24"/>
          <w:szCs w:val="24"/>
        </w:rPr>
        <w:t xml:space="preserve">: </w:t>
      </w:r>
      <w:r w:rsidRPr="009A7092">
        <w:rPr>
          <w:rFonts w:ascii="Times New Roman" w:hAnsi="Times New Roman"/>
          <w:sz w:val="24"/>
          <w:szCs w:val="24"/>
          <w:lang w:val="sr-Cyrl-RS"/>
        </w:rPr>
        <w:t>у почетној фази</w:t>
      </w:r>
      <w:r w:rsidRPr="009A7092">
        <w:rPr>
          <w:rFonts w:ascii="Times New Roman" w:hAnsi="Times New Roman"/>
          <w:sz w:val="24"/>
          <w:szCs w:val="24"/>
        </w:rPr>
        <w:t>).</w:t>
      </w:r>
    </w:p>
    <w:p w:rsidR="00BF3283" w:rsidRPr="007C7259" w:rsidRDefault="00BF3283" w:rsidP="00BF3283">
      <w:pPr>
        <w:pStyle w:val="ListParagraph"/>
        <w:rPr>
          <w:rFonts w:ascii="Times New Roman" w:hAnsi="Times New Roman"/>
          <w:sz w:val="24"/>
          <w:szCs w:val="24"/>
          <w:lang w:val="en-US"/>
        </w:rPr>
      </w:pPr>
    </w:p>
    <w:p w:rsidR="00BF3283" w:rsidRPr="003333A5" w:rsidRDefault="003333A5" w:rsidP="00BF3283">
      <w:pPr>
        <w:rPr>
          <w:rFonts w:ascii="Times New Roman" w:hAnsi="Times New Roman"/>
          <w:b/>
          <w:sz w:val="24"/>
          <w:szCs w:val="24"/>
          <w:lang w:val="sr-Cyrl-RS"/>
        </w:rPr>
      </w:pPr>
      <w:r w:rsidRPr="003333A5">
        <w:rPr>
          <w:rFonts w:ascii="Times New Roman" w:hAnsi="Times New Roman"/>
          <w:b/>
          <w:sz w:val="24"/>
          <w:szCs w:val="24"/>
        </w:rPr>
        <w:lastRenderedPageBreak/>
        <w:t>Mo</w:t>
      </w:r>
      <w:r w:rsidRPr="003333A5">
        <w:rPr>
          <w:rFonts w:ascii="Times New Roman" w:hAnsi="Times New Roman"/>
          <w:b/>
          <w:sz w:val="24"/>
          <w:szCs w:val="24"/>
          <w:lang w:val="sr-Cyrl-RS"/>
        </w:rPr>
        <w:t>дели</w:t>
      </w:r>
      <w:r w:rsidR="00BF3283" w:rsidRPr="003333A5">
        <w:rPr>
          <w:rFonts w:ascii="Times New Roman" w:hAnsi="Times New Roman"/>
          <w:b/>
          <w:sz w:val="24"/>
          <w:szCs w:val="24"/>
        </w:rPr>
        <w:t xml:space="preserve">, </w:t>
      </w:r>
      <w:r w:rsidRPr="003333A5">
        <w:rPr>
          <w:rFonts w:ascii="Times New Roman" w:hAnsi="Times New Roman"/>
          <w:b/>
          <w:sz w:val="24"/>
          <w:szCs w:val="24"/>
          <w:lang w:val="sr-Cyrl-RS"/>
        </w:rPr>
        <w:t>приручници</w:t>
      </w:r>
      <w:r w:rsidR="00BF3283" w:rsidRPr="003333A5">
        <w:rPr>
          <w:rFonts w:ascii="Times New Roman" w:hAnsi="Times New Roman"/>
          <w:b/>
          <w:sz w:val="24"/>
          <w:szCs w:val="24"/>
        </w:rPr>
        <w:t xml:space="preserve"> </w:t>
      </w:r>
      <w:r w:rsidRPr="003333A5">
        <w:rPr>
          <w:rFonts w:ascii="Times New Roman" w:hAnsi="Times New Roman"/>
          <w:b/>
          <w:sz w:val="24"/>
          <w:szCs w:val="24"/>
          <w:lang w:val="sr-Cyrl-RS"/>
        </w:rPr>
        <w:t>и</w:t>
      </w:r>
      <w:r>
        <w:rPr>
          <w:rFonts w:ascii="Times New Roman" w:hAnsi="Times New Roman"/>
          <w:b/>
          <w:sz w:val="24"/>
          <w:szCs w:val="24"/>
        </w:rPr>
        <w:t xml:space="preserve"> </w:t>
      </w:r>
      <w:r>
        <w:rPr>
          <w:rFonts w:ascii="Times New Roman" w:hAnsi="Times New Roman"/>
          <w:b/>
          <w:sz w:val="24"/>
          <w:szCs w:val="24"/>
          <w:lang w:val="sr-Cyrl-CS"/>
        </w:rPr>
        <w:t>м</w:t>
      </w:r>
      <w:r w:rsidRPr="003333A5">
        <w:rPr>
          <w:rFonts w:ascii="Times New Roman" w:hAnsi="Times New Roman"/>
          <w:b/>
          <w:sz w:val="24"/>
          <w:szCs w:val="24"/>
        </w:rPr>
        <w:t>e</w:t>
      </w:r>
      <w:r w:rsidRPr="003333A5">
        <w:rPr>
          <w:rFonts w:ascii="Times New Roman" w:hAnsi="Times New Roman"/>
          <w:b/>
          <w:sz w:val="24"/>
          <w:szCs w:val="24"/>
          <w:lang w:val="sr-Cyrl-RS"/>
        </w:rPr>
        <w:t>тодологије</w:t>
      </w:r>
    </w:p>
    <w:p w:rsidR="00BF3283" w:rsidRPr="003333A5" w:rsidRDefault="00BF3283" w:rsidP="003333A5">
      <w:pPr>
        <w:jc w:val="both"/>
        <w:rPr>
          <w:rFonts w:ascii="Times New Roman" w:hAnsi="Times New Roman"/>
          <w:sz w:val="24"/>
          <w:szCs w:val="24"/>
          <w:lang w:val="sr-Cyrl-RS"/>
        </w:rPr>
      </w:pPr>
      <w:r w:rsidRPr="00DE0630">
        <w:rPr>
          <w:rFonts w:ascii="Times New Roman" w:hAnsi="Times New Roman"/>
          <w:sz w:val="24"/>
          <w:szCs w:val="24"/>
          <w:lang w:val="sr-Cyrl-RS"/>
        </w:rPr>
        <w:t>Осим 12 модела, смерница и инструкција</w:t>
      </w:r>
      <w:r w:rsidRPr="00DE0630">
        <w:rPr>
          <w:rFonts w:ascii="Times New Roman" w:hAnsi="Times New Roman"/>
          <w:sz w:val="24"/>
          <w:szCs w:val="24"/>
        </w:rPr>
        <w:t xml:space="preserve"> </w:t>
      </w:r>
      <w:r w:rsidRPr="00DE0630">
        <w:rPr>
          <w:rFonts w:ascii="Times New Roman" w:hAnsi="Times New Roman"/>
          <w:sz w:val="24"/>
          <w:szCs w:val="24"/>
          <w:lang w:val="sr-Cyrl-RS"/>
        </w:rPr>
        <w:t xml:space="preserve">припремљених од стране </w:t>
      </w:r>
      <w:r>
        <w:rPr>
          <w:rFonts w:ascii="Times New Roman" w:hAnsi="Times New Roman"/>
          <w:sz w:val="24"/>
          <w:szCs w:val="24"/>
          <w:lang w:val="sr-Cyrl-RS"/>
        </w:rPr>
        <w:t>Управе</w:t>
      </w:r>
      <w:r w:rsidRPr="00DE0630">
        <w:rPr>
          <w:rFonts w:ascii="Times New Roman" w:hAnsi="Times New Roman"/>
          <w:sz w:val="24"/>
          <w:szCs w:val="24"/>
          <w:lang w:val="sr-Cyrl-RS"/>
        </w:rPr>
        <w:t xml:space="preserve"> </w:t>
      </w:r>
      <w:r w:rsidRPr="00DE0630">
        <w:rPr>
          <w:rFonts w:ascii="Times New Roman" w:hAnsi="Times New Roman"/>
          <w:sz w:val="24"/>
          <w:szCs w:val="24"/>
        </w:rPr>
        <w:t xml:space="preserve"> </w:t>
      </w:r>
      <w:r w:rsidRPr="00DE0630">
        <w:rPr>
          <w:rFonts w:ascii="Times New Roman" w:hAnsi="Times New Roman"/>
          <w:sz w:val="24"/>
          <w:szCs w:val="24"/>
          <w:lang w:val="sr-Cyrl-RS"/>
        </w:rPr>
        <w:t>у периоду</w:t>
      </w:r>
      <w:r w:rsidRPr="00DE0630">
        <w:rPr>
          <w:rFonts w:ascii="Times New Roman" w:hAnsi="Times New Roman"/>
          <w:sz w:val="24"/>
          <w:szCs w:val="24"/>
        </w:rPr>
        <w:t xml:space="preserve"> </w:t>
      </w:r>
      <w:r w:rsidRPr="00DE0630">
        <w:rPr>
          <w:rFonts w:ascii="Times New Roman" w:hAnsi="Times New Roman"/>
          <w:sz w:val="24"/>
          <w:szCs w:val="24"/>
          <w:lang w:val="sr-Cyrl-RS"/>
        </w:rPr>
        <w:t>април</w:t>
      </w:r>
      <w:r w:rsidRPr="00DE0630">
        <w:rPr>
          <w:rFonts w:ascii="Times New Roman" w:hAnsi="Times New Roman"/>
          <w:sz w:val="24"/>
          <w:szCs w:val="24"/>
        </w:rPr>
        <w:t xml:space="preserve"> 2013 - </w:t>
      </w:r>
      <w:r w:rsidRPr="00DE0630">
        <w:rPr>
          <w:rFonts w:ascii="Times New Roman" w:hAnsi="Times New Roman"/>
          <w:sz w:val="24"/>
          <w:szCs w:val="24"/>
          <w:lang w:val="sr-Cyrl-RS"/>
        </w:rPr>
        <w:t>мај</w:t>
      </w:r>
      <w:r w:rsidRPr="00DE0630">
        <w:rPr>
          <w:rFonts w:ascii="Times New Roman" w:hAnsi="Times New Roman"/>
          <w:sz w:val="24"/>
          <w:szCs w:val="24"/>
        </w:rPr>
        <w:t xml:space="preserve"> 2014, </w:t>
      </w:r>
      <w:r>
        <w:rPr>
          <w:rFonts w:ascii="Times New Roman" w:hAnsi="Times New Roman"/>
          <w:sz w:val="24"/>
          <w:szCs w:val="24"/>
          <w:lang w:val="sr-Cyrl-RS"/>
        </w:rPr>
        <w:t>Управа је започела активности и на припреми</w:t>
      </w:r>
      <w:r w:rsidRPr="00DE0630">
        <w:rPr>
          <w:rFonts w:ascii="Times New Roman" w:hAnsi="Times New Roman"/>
          <w:sz w:val="24"/>
          <w:szCs w:val="24"/>
          <w:lang w:val="sr-Cyrl-RS"/>
        </w:rPr>
        <w:t xml:space="preserve"> две методологије</w:t>
      </w:r>
      <w:r w:rsidR="00263DD7">
        <w:rPr>
          <w:rFonts w:ascii="Times New Roman" w:hAnsi="Times New Roman"/>
          <w:sz w:val="24"/>
          <w:szCs w:val="24"/>
        </w:rPr>
        <w:t>: 1)</w:t>
      </w:r>
      <w:r w:rsidR="00263DD7">
        <w:rPr>
          <w:rFonts w:ascii="Times New Roman" w:hAnsi="Times New Roman"/>
          <w:sz w:val="24"/>
          <w:szCs w:val="24"/>
          <w:lang w:val="sr-Cyrl-RS"/>
        </w:rPr>
        <w:t xml:space="preserve"> </w:t>
      </w:r>
      <w:r w:rsidRPr="00B31071">
        <w:rPr>
          <w:rFonts w:ascii="Times New Roman" w:hAnsi="Times New Roman"/>
          <w:sz w:val="24"/>
          <w:szCs w:val="24"/>
        </w:rPr>
        <w:t>M</w:t>
      </w:r>
      <w:r w:rsidRPr="00B31071">
        <w:rPr>
          <w:rFonts w:ascii="Times New Roman" w:hAnsi="Times New Roman"/>
          <w:sz w:val="24"/>
          <w:szCs w:val="24"/>
          <w:lang w:val="sr-Cyrl-RS"/>
        </w:rPr>
        <w:t>етодологиј</w:t>
      </w:r>
      <w:r>
        <w:rPr>
          <w:rFonts w:ascii="Times New Roman" w:hAnsi="Times New Roman"/>
          <w:sz w:val="24"/>
          <w:szCs w:val="24"/>
          <w:lang w:val="sr-Cyrl-RS"/>
        </w:rPr>
        <w:t>а</w:t>
      </w:r>
      <w:r w:rsidRPr="00B31071">
        <w:rPr>
          <w:rFonts w:ascii="Times New Roman" w:hAnsi="Times New Roman"/>
          <w:sz w:val="24"/>
          <w:szCs w:val="24"/>
          <w:lang w:val="sr-Cyrl-RS"/>
        </w:rPr>
        <w:t xml:space="preserve"> за анализу</w:t>
      </w:r>
      <w:r w:rsidRPr="00B31071">
        <w:rPr>
          <w:rFonts w:ascii="Times New Roman" w:hAnsi="Times New Roman"/>
          <w:sz w:val="24"/>
          <w:szCs w:val="24"/>
        </w:rPr>
        <w:t xml:space="preserve"> </w:t>
      </w:r>
      <w:r w:rsidRPr="00B31071">
        <w:rPr>
          <w:rFonts w:ascii="Times New Roman" w:hAnsi="Times New Roman"/>
          <w:sz w:val="24"/>
          <w:szCs w:val="24"/>
          <w:lang w:val="sr-Cyrl-RS"/>
        </w:rPr>
        <w:t>планова набавки</w:t>
      </w:r>
      <w:r w:rsidRPr="00B31071">
        <w:rPr>
          <w:rFonts w:ascii="Times New Roman" w:hAnsi="Times New Roman"/>
          <w:sz w:val="24"/>
          <w:szCs w:val="24"/>
        </w:rPr>
        <w:t xml:space="preserve">  2) </w:t>
      </w:r>
      <w:r>
        <w:rPr>
          <w:rFonts w:ascii="Times New Roman" w:hAnsi="Times New Roman"/>
          <w:sz w:val="24"/>
          <w:szCs w:val="24"/>
          <w:lang w:val="sr-Cyrl-RS"/>
        </w:rPr>
        <w:t>Методологија</w:t>
      </w:r>
      <w:r w:rsidRPr="00B31071">
        <w:rPr>
          <w:rFonts w:ascii="Times New Roman" w:hAnsi="Times New Roman"/>
          <w:sz w:val="24"/>
          <w:szCs w:val="24"/>
          <w:lang w:val="sr-Cyrl-RS"/>
        </w:rPr>
        <w:t xml:space="preserve"> за вршење надзора над применом </w:t>
      </w:r>
      <w:r w:rsidR="00263DD7">
        <w:rPr>
          <w:rFonts w:ascii="Times New Roman" w:hAnsi="Times New Roman"/>
          <w:sz w:val="24"/>
          <w:szCs w:val="24"/>
          <w:lang w:val="sr-Cyrl-RS"/>
        </w:rPr>
        <w:t>Закона</w:t>
      </w:r>
      <w:r w:rsidRPr="00B31071">
        <w:rPr>
          <w:rFonts w:ascii="Times New Roman" w:hAnsi="Times New Roman"/>
          <w:sz w:val="24"/>
          <w:szCs w:val="24"/>
          <w:lang w:val="sr-Cyrl-RS"/>
        </w:rPr>
        <w:t xml:space="preserve">. </w:t>
      </w:r>
    </w:p>
    <w:p w:rsidR="00BF3283" w:rsidRPr="00B31071" w:rsidRDefault="003333A5" w:rsidP="00BF3283">
      <w:pPr>
        <w:rPr>
          <w:rFonts w:ascii="Times New Roman" w:hAnsi="Times New Roman"/>
          <w:b/>
          <w:sz w:val="24"/>
          <w:szCs w:val="24"/>
          <w:lang w:val="sr-Cyrl-RS"/>
        </w:rPr>
      </w:pPr>
      <w:r w:rsidRPr="00B31071">
        <w:rPr>
          <w:rFonts w:ascii="Times New Roman" w:hAnsi="Times New Roman"/>
          <w:b/>
          <w:sz w:val="24"/>
          <w:szCs w:val="24"/>
          <w:lang w:val="sr-Cyrl-RS"/>
        </w:rPr>
        <w:t>Преговарачки поступак</w:t>
      </w:r>
      <w:r w:rsidR="00BF3283">
        <w:rPr>
          <w:rFonts w:ascii="Times New Roman" w:hAnsi="Times New Roman"/>
          <w:b/>
          <w:sz w:val="24"/>
          <w:szCs w:val="24"/>
          <w:lang w:val="sr-Cyrl-RS"/>
        </w:rPr>
        <w:t xml:space="preserve"> </w:t>
      </w:r>
      <w:r w:rsidRPr="00B31071">
        <w:rPr>
          <w:rFonts w:ascii="Times New Roman" w:hAnsi="Times New Roman"/>
          <w:b/>
          <w:sz w:val="24"/>
          <w:szCs w:val="24"/>
          <w:lang w:val="sr-Cyrl-RS"/>
        </w:rPr>
        <w:t xml:space="preserve"> без објављивања позива за подношење понуда</w:t>
      </w:r>
    </w:p>
    <w:p w:rsidR="00BF3283" w:rsidRDefault="00373BF2" w:rsidP="00BF3283">
      <w:pPr>
        <w:jc w:val="both"/>
        <w:rPr>
          <w:rFonts w:ascii="Times New Roman" w:hAnsi="Times New Roman"/>
          <w:sz w:val="24"/>
          <w:szCs w:val="24"/>
        </w:rPr>
      </w:pPr>
      <w:r>
        <w:rPr>
          <w:rFonts w:ascii="Times New Roman" w:hAnsi="Times New Roman"/>
          <w:sz w:val="24"/>
          <w:szCs w:val="24"/>
          <w:lang w:val="sr-Cyrl-RS"/>
        </w:rPr>
        <w:t xml:space="preserve">Од 1. </w:t>
      </w:r>
      <w:r w:rsidR="00BF3283" w:rsidRPr="00B31071">
        <w:rPr>
          <w:rFonts w:ascii="Times New Roman" w:hAnsi="Times New Roman"/>
          <w:sz w:val="24"/>
          <w:szCs w:val="24"/>
          <w:lang w:val="sr-Cyrl-RS"/>
        </w:rPr>
        <w:t>јануара</w:t>
      </w:r>
      <w:r w:rsidR="00BF3283" w:rsidRPr="00B31071">
        <w:rPr>
          <w:rFonts w:ascii="Times New Roman" w:hAnsi="Times New Roman"/>
          <w:sz w:val="24"/>
          <w:szCs w:val="24"/>
        </w:rPr>
        <w:t xml:space="preserve"> 2014</w:t>
      </w:r>
      <w:r w:rsidR="00BF3283" w:rsidRPr="00B31071">
        <w:rPr>
          <w:rFonts w:ascii="Times New Roman" w:hAnsi="Times New Roman"/>
          <w:sz w:val="24"/>
          <w:szCs w:val="24"/>
          <w:lang w:val="sr-Cyrl-RS"/>
        </w:rPr>
        <w:t>.</w:t>
      </w:r>
      <w:r w:rsidR="00BF3283" w:rsidRPr="00B31071">
        <w:rPr>
          <w:rFonts w:ascii="Times New Roman" w:hAnsi="Times New Roman"/>
          <w:sz w:val="24"/>
          <w:szCs w:val="24"/>
        </w:rPr>
        <w:t xml:space="preserve"> </w:t>
      </w:r>
      <w:r w:rsidR="00BF3283" w:rsidRPr="00B31071">
        <w:rPr>
          <w:rFonts w:ascii="Times New Roman" w:hAnsi="Times New Roman"/>
          <w:sz w:val="24"/>
          <w:szCs w:val="24"/>
          <w:lang w:val="sr-Cyrl-RS"/>
        </w:rPr>
        <w:t>до</w:t>
      </w:r>
      <w:r w:rsidR="00BF3283" w:rsidRPr="00B31071">
        <w:rPr>
          <w:rFonts w:ascii="Times New Roman" w:hAnsi="Times New Roman"/>
          <w:sz w:val="24"/>
          <w:szCs w:val="24"/>
        </w:rPr>
        <w:t xml:space="preserve"> 20</w:t>
      </w:r>
      <w:r w:rsidR="00BF3283" w:rsidRPr="00B31071">
        <w:rPr>
          <w:rFonts w:ascii="Times New Roman" w:hAnsi="Times New Roman"/>
          <w:sz w:val="24"/>
          <w:szCs w:val="24"/>
          <w:lang w:val="sr-Cyrl-RS"/>
        </w:rPr>
        <w:t>. августа</w:t>
      </w:r>
      <w:r w:rsidR="00BF3283" w:rsidRPr="00B31071">
        <w:rPr>
          <w:rFonts w:ascii="Times New Roman" w:hAnsi="Times New Roman"/>
          <w:sz w:val="24"/>
          <w:szCs w:val="24"/>
        </w:rPr>
        <w:t xml:space="preserve"> 2014, </w:t>
      </w:r>
      <w:r w:rsidR="00BF3283">
        <w:rPr>
          <w:rFonts w:ascii="Times New Roman" w:hAnsi="Times New Roman"/>
          <w:sz w:val="24"/>
          <w:szCs w:val="24"/>
          <w:lang w:val="sr-Cyrl-RS"/>
        </w:rPr>
        <w:t>Управа</w:t>
      </w:r>
      <w:r w:rsidR="00BF3283" w:rsidRPr="00B31071">
        <w:rPr>
          <w:rFonts w:ascii="Times New Roman" w:hAnsi="Times New Roman"/>
          <w:sz w:val="24"/>
          <w:szCs w:val="24"/>
        </w:rPr>
        <w:t xml:space="preserve"> </w:t>
      </w:r>
      <w:r w:rsidR="00BF3283" w:rsidRPr="00B31071">
        <w:rPr>
          <w:rFonts w:ascii="Times New Roman" w:hAnsi="Times New Roman"/>
          <w:sz w:val="24"/>
          <w:szCs w:val="24"/>
          <w:lang w:val="sr-Cyrl-RS"/>
        </w:rPr>
        <w:t>је урадила</w:t>
      </w:r>
      <w:r w:rsidR="00BF3283" w:rsidRPr="00B31071">
        <w:rPr>
          <w:rFonts w:ascii="Times New Roman" w:hAnsi="Times New Roman"/>
          <w:sz w:val="24"/>
          <w:szCs w:val="24"/>
        </w:rPr>
        <w:t xml:space="preserve"> </w:t>
      </w:r>
      <w:r w:rsidR="00BF3283" w:rsidRPr="00C92791">
        <w:rPr>
          <w:rFonts w:ascii="Times New Roman" w:hAnsi="Times New Roman"/>
          <w:sz w:val="24"/>
          <w:szCs w:val="24"/>
        </w:rPr>
        <w:t>2,950</w:t>
      </w:r>
      <w:r w:rsidR="00BF3283" w:rsidRPr="00C92791">
        <w:rPr>
          <w:rFonts w:ascii="Times New Roman" w:hAnsi="Times New Roman"/>
          <w:sz w:val="24"/>
          <w:szCs w:val="24"/>
          <w:lang w:val="sr-Cyrl-RS"/>
        </w:rPr>
        <w:t xml:space="preserve">  мишљења о оправданости</w:t>
      </w:r>
      <w:r w:rsidR="00BF3283" w:rsidRPr="00C92791">
        <w:rPr>
          <w:rFonts w:ascii="Times New Roman" w:hAnsi="Times New Roman"/>
          <w:sz w:val="24"/>
          <w:szCs w:val="24"/>
        </w:rPr>
        <w:t xml:space="preserve"> спровођења </w:t>
      </w:r>
      <w:r w:rsidR="00BF3283" w:rsidRPr="00C92791">
        <w:rPr>
          <w:rFonts w:ascii="Times New Roman" w:hAnsi="Times New Roman"/>
          <w:sz w:val="24"/>
          <w:szCs w:val="24"/>
          <w:lang w:val="sr-Cyrl-RS"/>
        </w:rPr>
        <w:t>преговарачког поступка</w:t>
      </w:r>
      <w:r w:rsidR="00BF3283" w:rsidRPr="00C92791">
        <w:rPr>
          <w:rFonts w:ascii="Times New Roman" w:hAnsi="Times New Roman"/>
          <w:sz w:val="24"/>
          <w:szCs w:val="24"/>
        </w:rPr>
        <w:t xml:space="preserve">. </w:t>
      </w:r>
      <w:r w:rsidR="00BF3283" w:rsidRPr="00C92791">
        <w:rPr>
          <w:rFonts w:ascii="Times New Roman" w:hAnsi="Times New Roman"/>
          <w:sz w:val="24"/>
          <w:szCs w:val="24"/>
          <w:lang w:val="sr-Cyrl-RS"/>
        </w:rPr>
        <w:t>Наручиоци су се најчешће обраћали захтевима за примену преговарачког поступка са тачно одређеним понуђачем (члан 36. став 1. тачка 2</w:t>
      </w:r>
      <w:r w:rsidR="00C15892">
        <w:rPr>
          <w:rFonts w:ascii="Times New Roman" w:hAnsi="Times New Roman"/>
          <w:sz w:val="24"/>
          <w:szCs w:val="24"/>
          <w:lang w:val="sr-Cyrl-RS"/>
        </w:rPr>
        <w:t>) Закона</w:t>
      </w:r>
      <w:r w:rsidR="00BF3283" w:rsidRPr="00C92791">
        <w:rPr>
          <w:rFonts w:ascii="Times New Roman" w:hAnsi="Times New Roman"/>
          <w:sz w:val="24"/>
          <w:szCs w:val="24"/>
          <w:lang w:val="sr-Cyrl-RS"/>
        </w:rPr>
        <w:t>), и то њих 73</w:t>
      </w:r>
      <w:r w:rsidR="00BF3283">
        <w:rPr>
          <w:rFonts w:ascii="Times New Roman" w:hAnsi="Times New Roman"/>
          <w:sz w:val="24"/>
          <w:szCs w:val="24"/>
          <w:lang w:val="sr-Cyrl-RS"/>
        </w:rPr>
        <w:t>%</w:t>
      </w:r>
      <w:r w:rsidR="00BF3283" w:rsidRPr="00B31071">
        <w:rPr>
          <w:rFonts w:ascii="Times New Roman" w:hAnsi="Times New Roman"/>
          <w:sz w:val="24"/>
          <w:szCs w:val="24"/>
          <w:lang w:val="sr-Cyrl-RS"/>
        </w:rPr>
        <w:t>. Следе преговарачки поступци због постојања разлога хитности (ч</w:t>
      </w:r>
      <w:r w:rsidR="00BF3283">
        <w:rPr>
          <w:rFonts w:ascii="Times New Roman" w:hAnsi="Times New Roman"/>
          <w:sz w:val="24"/>
          <w:szCs w:val="24"/>
          <w:lang w:val="sr-Cyrl-RS"/>
        </w:rPr>
        <w:t>лан 36. став 1. тачка 3) Закона</w:t>
      </w:r>
      <w:r w:rsidR="00C15892">
        <w:rPr>
          <w:rFonts w:ascii="Times New Roman" w:hAnsi="Times New Roman"/>
          <w:sz w:val="24"/>
          <w:szCs w:val="24"/>
          <w:lang w:val="sr-Cyrl-RS"/>
        </w:rPr>
        <w:t>)</w:t>
      </w:r>
      <w:r w:rsidR="00BF3283">
        <w:rPr>
          <w:rFonts w:ascii="Times New Roman" w:hAnsi="Times New Roman"/>
          <w:sz w:val="24"/>
          <w:szCs w:val="24"/>
          <w:lang w:val="sr-Cyrl-RS"/>
        </w:rPr>
        <w:t xml:space="preserve"> са 21%</w:t>
      </w:r>
      <w:r w:rsidR="00BF3283" w:rsidRPr="00B31071">
        <w:rPr>
          <w:rFonts w:ascii="Times New Roman" w:hAnsi="Times New Roman"/>
          <w:sz w:val="24"/>
          <w:szCs w:val="24"/>
          <w:lang w:val="sr-Cyrl-RS"/>
        </w:rPr>
        <w:t xml:space="preserve"> и преговарачки поступци који се односе на непредвиђене радове и услуге (ч</w:t>
      </w:r>
      <w:r w:rsidR="00BF3283">
        <w:rPr>
          <w:rFonts w:ascii="Times New Roman" w:hAnsi="Times New Roman"/>
          <w:sz w:val="24"/>
          <w:szCs w:val="24"/>
          <w:lang w:val="sr-Cyrl-RS"/>
        </w:rPr>
        <w:t>лан 36. став 1. тачка 5) Закона</w:t>
      </w:r>
      <w:r w:rsidR="00C15892">
        <w:rPr>
          <w:rFonts w:ascii="Times New Roman" w:hAnsi="Times New Roman"/>
          <w:sz w:val="24"/>
          <w:szCs w:val="24"/>
          <w:lang w:val="sr-Cyrl-RS"/>
        </w:rPr>
        <w:t>)</w:t>
      </w:r>
      <w:r w:rsidR="00BF3283">
        <w:rPr>
          <w:rFonts w:ascii="Times New Roman" w:hAnsi="Times New Roman"/>
          <w:sz w:val="24"/>
          <w:szCs w:val="24"/>
          <w:lang w:val="sr-Cyrl-RS"/>
        </w:rPr>
        <w:t xml:space="preserve"> са учешћем од 6%</w:t>
      </w:r>
      <w:r w:rsidR="00E04FB1">
        <w:rPr>
          <w:rFonts w:ascii="Times New Roman" w:hAnsi="Times New Roman"/>
          <w:sz w:val="24"/>
          <w:szCs w:val="24"/>
          <w:lang w:val="sr-Cyrl-RS"/>
        </w:rPr>
        <w:t xml:space="preserve"> (Слика 14).</w:t>
      </w:r>
    </w:p>
    <w:p w:rsidR="00BF3283" w:rsidRPr="005A657A" w:rsidRDefault="00BF3283" w:rsidP="00BF3283">
      <w:pPr>
        <w:jc w:val="both"/>
        <w:rPr>
          <w:rFonts w:ascii="Times New Roman" w:hAnsi="Times New Roman"/>
          <w:sz w:val="24"/>
          <w:szCs w:val="24"/>
          <w:lang w:val="sr-Cyrl-RS"/>
        </w:rPr>
      </w:pPr>
      <w:r w:rsidRPr="005A657A">
        <w:rPr>
          <w:rFonts w:ascii="Times New Roman" w:hAnsi="Times New Roman"/>
          <w:sz w:val="24"/>
          <w:szCs w:val="24"/>
          <w:lang w:val="sr-Cyrl-RS"/>
        </w:rPr>
        <w:t>Јасно је да се бележи повећање броја преговарачких поступака који се спроводе због постојања разлога хитности у другом кварталу 2014. године. Разлог томе су непредвиђени догађаји, односно катастрофалне поплаве које су се десиле у мају месецу 2014. године.</w:t>
      </w:r>
    </w:p>
    <w:p w:rsidR="00BF3283" w:rsidRPr="00665C35" w:rsidRDefault="00665C35" w:rsidP="003569C1">
      <w:pPr>
        <w:jc w:val="center"/>
        <w:rPr>
          <w:rFonts w:ascii="Times New Roman" w:hAnsi="Times New Roman"/>
          <w:b/>
          <w:sz w:val="24"/>
          <w:szCs w:val="24"/>
          <w:lang w:val="sr-Cyrl-RS"/>
        </w:rPr>
      </w:pPr>
      <w:r w:rsidRPr="00665C35">
        <w:rPr>
          <w:rFonts w:ascii="Times New Roman" w:hAnsi="Times New Roman"/>
          <w:b/>
          <w:sz w:val="24"/>
          <w:szCs w:val="24"/>
          <w:lang w:val="sr-Cyrl-RS"/>
        </w:rPr>
        <w:t>Слика 14</w:t>
      </w:r>
    </w:p>
    <w:p w:rsidR="00BF3283" w:rsidRPr="00B31071" w:rsidRDefault="00BF3283" w:rsidP="003569C1">
      <w:pPr>
        <w:jc w:val="center"/>
        <w:rPr>
          <w:rFonts w:ascii="Times New Roman" w:hAnsi="Times New Roman"/>
          <w:sz w:val="24"/>
          <w:szCs w:val="24"/>
        </w:rPr>
      </w:pPr>
      <w:r w:rsidRPr="00B31071">
        <w:rPr>
          <w:rFonts w:ascii="Times New Roman" w:hAnsi="Times New Roman"/>
          <w:noProof/>
          <w:sz w:val="24"/>
          <w:szCs w:val="24"/>
        </w:rPr>
        <w:drawing>
          <wp:inline distT="0" distB="0" distL="0" distR="0" wp14:anchorId="698BCD4E" wp14:editId="335017DB">
            <wp:extent cx="4641011" cy="2751827"/>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4641011" cy="2751827"/>
                    </a:xfrm>
                    <a:prstGeom prst="rect">
                      <a:avLst/>
                    </a:prstGeom>
                    <a:noFill/>
                  </pic:spPr>
                </pic:pic>
              </a:graphicData>
            </a:graphic>
          </wp:inline>
        </w:drawing>
      </w:r>
    </w:p>
    <w:p w:rsidR="00BF3283" w:rsidRPr="00B31071" w:rsidRDefault="00BF3283" w:rsidP="00BF3283">
      <w:pPr>
        <w:jc w:val="both"/>
        <w:rPr>
          <w:rFonts w:ascii="Times New Roman" w:hAnsi="Times New Roman"/>
          <w:sz w:val="24"/>
          <w:szCs w:val="24"/>
          <w:lang w:val="sr-Cyrl-RS"/>
        </w:rPr>
      </w:pPr>
      <w:r w:rsidRPr="00B31071">
        <w:rPr>
          <w:rFonts w:ascii="Times New Roman" w:hAnsi="Times New Roman"/>
          <w:sz w:val="24"/>
          <w:szCs w:val="24"/>
        </w:rPr>
        <w:t xml:space="preserve">У складу са </w:t>
      </w:r>
      <w:r>
        <w:rPr>
          <w:rFonts w:ascii="Times New Roman" w:hAnsi="Times New Roman"/>
          <w:sz w:val="24"/>
          <w:szCs w:val="24"/>
          <w:lang w:val="sr-Cyrl-CS"/>
        </w:rPr>
        <w:t>Законом,</w:t>
      </w:r>
      <w:r w:rsidRPr="00B31071">
        <w:rPr>
          <w:rFonts w:ascii="Times New Roman" w:hAnsi="Times New Roman"/>
          <w:sz w:val="24"/>
          <w:szCs w:val="24"/>
        </w:rPr>
        <w:t xml:space="preserve"> Управа има рок од 10 дана од дана кад прими уредан захтев за мишљење да одговори наручиоцу да ли су или нису испуњени услови за примену преговарачког поступка.</w:t>
      </w:r>
    </w:p>
    <w:p w:rsidR="00BF3283" w:rsidRPr="00B31071" w:rsidRDefault="00C15892" w:rsidP="00BF3283">
      <w:pPr>
        <w:jc w:val="both"/>
        <w:rPr>
          <w:rFonts w:ascii="Times New Roman" w:hAnsi="Times New Roman"/>
          <w:sz w:val="24"/>
          <w:szCs w:val="24"/>
          <w:lang w:val="sr-Cyrl-RS"/>
        </w:rPr>
      </w:pPr>
      <w:r>
        <w:rPr>
          <w:rFonts w:ascii="Times New Roman" w:hAnsi="Times New Roman"/>
          <w:sz w:val="24"/>
          <w:szCs w:val="24"/>
          <w:lang w:val="sr-Cyrl-RS"/>
        </w:rPr>
        <w:t>Динамика давања</w:t>
      </w:r>
      <w:r w:rsidR="00BF3283" w:rsidRPr="00B31071">
        <w:rPr>
          <w:rFonts w:ascii="Times New Roman" w:hAnsi="Times New Roman"/>
          <w:sz w:val="24"/>
          <w:szCs w:val="24"/>
          <w:lang w:val="sr-Cyrl-RS"/>
        </w:rPr>
        <w:t xml:space="preserve"> мишљења за преговарачки поступак без објављивања, у периоду </w:t>
      </w:r>
      <w:r w:rsidR="00BF3283" w:rsidRPr="003333A5">
        <w:rPr>
          <w:rFonts w:ascii="Times New Roman" w:hAnsi="Times New Roman"/>
          <w:sz w:val="24"/>
          <w:szCs w:val="24"/>
          <w:lang w:val="sr-Cyrl-RS"/>
        </w:rPr>
        <w:t>јануар-август 2014.</w:t>
      </w:r>
      <w:r w:rsidR="00BF3283" w:rsidRPr="00B31071">
        <w:rPr>
          <w:rFonts w:ascii="Times New Roman" w:hAnsi="Times New Roman"/>
          <w:sz w:val="24"/>
          <w:szCs w:val="24"/>
          <w:lang w:val="sr-Cyrl-RS"/>
        </w:rPr>
        <w:t xml:space="preserve"> била је следећа:</w:t>
      </w:r>
    </w:p>
    <w:p w:rsidR="00BF3283" w:rsidRPr="00676F49" w:rsidRDefault="00BF3283" w:rsidP="00BF3283">
      <w:pPr>
        <w:jc w:val="both"/>
        <w:rPr>
          <w:rFonts w:ascii="Times New Roman" w:hAnsi="Times New Roman"/>
          <w:sz w:val="24"/>
          <w:szCs w:val="24"/>
          <w:lang w:val="sr-Cyrl-RS"/>
        </w:rPr>
      </w:pPr>
      <w:r w:rsidRPr="00B31071">
        <w:rPr>
          <w:rFonts w:ascii="Times New Roman" w:hAnsi="Times New Roman"/>
          <w:sz w:val="24"/>
          <w:szCs w:val="24"/>
        </w:rPr>
        <w:t xml:space="preserve">Јануар </w:t>
      </w:r>
      <w:r w:rsidR="00321C6B">
        <w:rPr>
          <w:rFonts w:ascii="Times New Roman" w:hAnsi="Times New Roman"/>
          <w:sz w:val="24"/>
          <w:szCs w:val="24"/>
          <w:lang w:val="sr-Cyrl-RS"/>
        </w:rPr>
        <w:t>-</w:t>
      </w:r>
      <w:r w:rsidR="00453AEC">
        <w:rPr>
          <w:rFonts w:ascii="Times New Roman" w:hAnsi="Times New Roman"/>
          <w:sz w:val="24"/>
          <w:szCs w:val="24"/>
          <w:lang w:val="sr-Cyrl-RS"/>
        </w:rPr>
        <w:t xml:space="preserve"> </w:t>
      </w:r>
      <w:r w:rsidR="00676F49">
        <w:rPr>
          <w:rFonts w:ascii="Times New Roman" w:hAnsi="Times New Roman"/>
          <w:sz w:val="24"/>
          <w:szCs w:val="24"/>
        </w:rPr>
        <w:t>397 мишљења у року од 9 дана</w:t>
      </w:r>
    </w:p>
    <w:p w:rsidR="00BF3283" w:rsidRPr="00676F49" w:rsidRDefault="00BF3283" w:rsidP="00BF3283">
      <w:pPr>
        <w:jc w:val="both"/>
        <w:rPr>
          <w:rFonts w:ascii="Times New Roman" w:hAnsi="Times New Roman"/>
          <w:sz w:val="24"/>
          <w:szCs w:val="24"/>
          <w:lang w:val="sr-Cyrl-RS"/>
        </w:rPr>
      </w:pPr>
      <w:r w:rsidRPr="00B31071">
        <w:rPr>
          <w:rFonts w:ascii="Times New Roman" w:hAnsi="Times New Roman"/>
          <w:sz w:val="24"/>
          <w:szCs w:val="24"/>
        </w:rPr>
        <w:t>Фебруар</w:t>
      </w:r>
      <w:r w:rsidR="00453AEC">
        <w:rPr>
          <w:rFonts w:ascii="Times New Roman" w:hAnsi="Times New Roman"/>
          <w:sz w:val="24"/>
          <w:szCs w:val="24"/>
          <w:lang w:val="sr-Cyrl-RS"/>
        </w:rPr>
        <w:t xml:space="preserve"> </w:t>
      </w:r>
      <w:r w:rsidRPr="00B31071">
        <w:rPr>
          <w:rFonts w:ascii="Times New Roman" w:hAnsi="Times New Roman"/>
          <w:sz w:val="24"/>
          <w:szCs w:val="24"/>
        </w:rPr>
        <w:t xml:space="preserve">- 480 мишљења у </w:t>
      </w:r>
      <w:r w:rsidR="00676F49">
        <w:rPr>
          <w:rFonts w:ascii="Times New Roman" w:hAnsi="Times New Roman"/>
          <w:sz w:val="24"/>
          <w:szCs w:val="24"/>
        </w:rPr>
        <w:t>року од 4 дана</w:t>
      </w:r>
    </w:p>
    <w:p w:rsidR="00BF3283" w:rsidRPr="00676F49" w:rsidRDefault="00BF3283" w:rsidP="00BF3283">
      <w:pPr>
        <w:jc w:val="both"/>
        <w:rPr>
          <w:rFonts w:ascii="Times New Roman" w:hAnsi="Times New Roman"/>
          <w:sz w:val="24"/>
          <w:szCs w:val="24"/>
          <w:lang w:val="sr-Cyrl-RS"/>
        </w:rPr>
      </w:pPr>
      <w:r w:rsidRPr="00B31071">
        <w:rPr>
          <w:rFonts w:ascii="Times New Roman" w:hAnsi="Times New Roman"/>
          <w:sz w:val="24"/>
          <w:szCs w:val="24"/>
        </w:rPr>
        <w:t>Март</w:t>
      </w:r>
      <w:r w:rsidR="00453AEC">
        <w:rPr>
          <w:rFonts w:ascii="Times New Roman" w:hAnsi="Times New Roman"/>
          <w:sz w:val="24"/>
          <w:szCs w:val="24"/>
          <w:lang w:val="sr-Cyrl-RS"/>
        </w:rPr>
        <w:t xml:space="preserve"> </w:t>
      </w:r>
      <w:r w:rsidRPr="00B31071">
        <w:rPr>
          <w:rFonts w:ascii="Times New Roman" w:hAnsi="Times New Roman"/>
          <w:sz w:val="24"/>
          <w:szCs w:val="24"/>
        </w:rPr>
        <w:t>-</w:t>
      </w:r>
      <w:r w:rsidR="00676F49">
        <w:rPr>
          <w:rFonts w:ascii="Times New Roman" w:hAnsi="Times New Roman"/>
          <w:sz w:val="24"/>
          <w:szCs w:val="24"/>
        </w:rPr>
        <w:t xml:space="preserve"> 502 мишљења у року од 7 дана</w:t>
      </w:r>
    </w:p>
    <w:p w:rsidR="00BF3283" w:rsidRPr="00676F49" w:rsidRDefault="00BF3283" w:rsidP="00BF3283">
      <w:pPr>
        <w:jc w:val="both"/>
        <w:rPr>
          <w:rFonts w:ascii="Times New Roman" w:hAnsi="Times New Roman"/>
          <w:sz w:val="24"/>
          <w:szCs w:val="24"/>
          <w:lang w:val="sr-Cyrl-RS"/>
        </w:rPr>
      </w:pPr>
      <w:r w:rsidRPr="00B31071">
        <w:rPr>
          <w:rFonts w:ascii="Times New Roman" w:hAnsi="Times New Roman"/>
          <w:sz w:val="24"/>
          <w:szCs w:val="24"/>
        </w:rPr>
        <w:lastRenderedPageBreak/>
        <w:t>Април</w:t>
      </w:r>
      <w:r w:rsidR="00453AEC">
        <w:rPr>
          <w:rFonts w:ascii="Times New Roman" w:hAnsi="Times New Roman"/>
          <w:sz w:val="24"/>
          <w:szCs w:val="24"/>
          <w:lang w:val="sr-Cyrl-RS"/>
        </w:rPr>
        <w:t xml:space="preserve"> </w:t>
      </w:r>
      <w:r w:rsidRPr="00B31071">
        <w:rPr>
          <w:rFonts w:ascii="Times New Roman" w:hAnsi="Times New Roman"/>
          <w:sz w:val="24"/>
          <w:szCs w:val="24"/>
        </w:rPr>
        <w:t>-</w:t>
      </w:r>
      <w:r w:rsidR="00676F49">
        <w:rPr>
          <w:rFonts w:ascii="Times New Roman" w:hAnsi="Times New Roman"/>
          <w:sz w:val="24"/>
          <w:szCs w:val="24"/>
        </w:rPr>
        <w:t xml:space="preserve"> 417 мишљења у року од 8 дана</w:t>
      </w:r>
    </w:p>
    <w:p w:rsidR="00BF3283" w:rsidRPr="00676F49" w:rsidRDefault="00BF3283" w:rsidP="00BF3283">
      <w:pPr>
        <w:jc w:val="both"/>
        <w:rPr>
          <w:rFonts w:ascii="Times New Roman" w:hAnsi="Times New Roman"/>
          <w:sz w:val="24"/>
          <w:szCs w:val="24"/>
          <w:lang w:val="sr-Cyrl-RS"/>
        </w:rPr>
      </w:pPr>
      <w:r w:rsidRPr="00B31071">
        <w:rPr>
          <w:rFonts w:ascii="Times New Roman" w:hAnsi="Times New Roman"/>
          <w:sz w:val="24"/>
          <w:szCs w:val="24"/>
        </w:rPr>
        <w:t>Мај</w:t>
      </w:r>
      <w:r w:rsidR="00453AEC">
        <w:rPr>
          <w:rFonts w:ascii="Times New Roman" w:hAnsi="Times New Roman"/>
          <w:sz w:val="24"/>
          <w:szCs w:val="24"/>
          <w:lang w:val="sr-Cyrl-RS"/>
        </w:rPr>
        <w:t xml:space="preserve"> </w:t>
      </w:r>
      <w:r w:rsidRPr="00B31071">
        <w:rPr>
          <w:rFonts w:ascii="Times New Roman" w:hAnsi="Times New Roman"/>
          <w:sz w:val="24"/>
          <w:szCs w:val="24"/>
        </w:rPr>
        <w:t>-</w:t>
      </w:r>
      <w:r w:rsidR="00676F49">
        <w:rPr>
          <w:rFonts w:ascii="Times New Roman" w:hAnsi="Times New Roman"/>
          <w:sz w:val="24"/>
          <w:szCs w:val="24"/>
        </w:rPr>
        <w:t xml:space="preserve"> 370 мишљења у року од 6 дана</w:t>
      </w:r>
    </w:p>
    <w:p w:rsidR="00BF3283" w:rsidRPr="00676F49" w:rsidRDefault="00BF3283" w:rsidP="00BF3283">
      <w:pPr>
        <w:jc w:val="both"/>
        <w:rPr>
          <w:rFonts w:ascii="Times New Roman" w:hAnsi="Times New Roman"/>
          <w:sz w:val="24"/>
          <w:szCs w:val="24"/>
          <w:lang w:val="sr-Cyrl-RS"/>
        </w:rPr>
      </w:pPr>
      <w:r w:rsidRPr="00B31071">
        <w:rPr>
          <w:rFonts w:ascii="Times New Roman" w:hAnsi="Times New Roman"/>
          <w:sz w:val="24"/>
          <w:szCs w:val="24"/>
        </w:rPr>
        <w:t>Јун</w:t>
      </w:r>
      <w:r w:rsidR="00453AEC">
        <w:rPr>
          <w:rFonts w:ascii="Times New Roman" w:hAnsi="Times New Roman"/>
          <w:sz w:val="24"/>
          <w:szCs w:val="24"/>
          <w:lang w:val="sr-Cyrl-RS"/>
        </w:rPr>
        <w:t xml:space="preserve"> </w:t>
      </w:r>
      <w:r w:rsidRPr="00B31071">
        <w:rPr>
          <w:rFonts w:ascii="Times New Roman" w:hAnsi="Times New Roman"/>
          <w:sz w:val="24"/>
          <w:szCs w:val="24"/>
        </w:rPr>
        <w:t>-</w:t>
      </w:r>
      <w:r w:rsidR="00676F49">
        <w:rPr>
          <w:rFonts w:ascii="Times New Roman" w:hAnsi="Times New Roman"/>
          <w:sz w:val="24"/>
          <w:szCs w:val="24"/>
        </w:rPr>
        <w:t xml:space="preserve"> 270 мишљења у року од 6 дана</w:t>
      </w:r>
    </w:p>
    <w:p w:rsidR="00BF3283" w:rsidRPr="00676F49" w:rsidRDefault="00BF3283" w:rsidP="00BF3283">
      <w:pPr>
        <w:jc w:val="both"/>
        <w:rPr>
          <w:rFonts w:ascii="Times New Roman" w:hAnsi="Times New Roman"/>
          <w:sz w:val="24"/>
          <w:szCs w:val="24"/>
          <w:lang w:val="sr-Cyrl-RS"/>
        </w:rPr>
      </w:pPr>
      <w:r w:rsidRPr="00B31071">
        <w:rPr>
          <w:rFonts w:ascii="Times New Roman" w:hAnsi="Times New Roman"/>
          <w:sz w:val="24"/>
          <w:szCs w:val="24"/>
        </w:rPr>
        <w:t>Јул</w:t>
      </w:r>
      <w:r w:rsidR="00453AEC">
        <w:rPr>
          <w:rFonts w:ascii="Times New Roman" w:hAnsi="Times New Roman"/>
          <w:sz w:val="24"/>
          <w:szCs w:val="24"/>
          <w:lang w:val="sr-Cyrl-RS"/>
        </w:rPr>
        <w:t xml:space="preserve"> </w:t>
      </w:r>
      <w:r w:rsidRPr="00B31071">
        <w:rPr>
          <w:rFonts w:ascii="Times New Roman" w:hAnsi="Times New Roman"/>
          <w:sz w:val="24"/>
          <w:szCs w:val="24"/>
        </w:rPr>
        <w:t>-</w:t>
      </w:r>
      <w:r w:rsidR="00676F49">
        <w:rPr>
          <w:rFonts w:ascii="Times New Roman" w:hAnsi="Times New Roman"/>
          <w:sz w:val="24"/>
          <w:szCs w:val="24"/>
        </w:rPr>
        <w:t xml:space="preserve"> 326 мишљења у року од 8 дана</w:t>
      </w:r>
    </w:p>
    <w:p w:rsidR="00BF3283" w:rsidRPr="00B31071" w:rsidRDefault="00BF3283" w:rsidP="00D776CB">
      <w:pPr>
        <w:jc w:val="both"/>
        <w:rPr>
          <w:rFonts w:ascii="Times New Roman" w:hAnsi="Times New Roman"/>
          <w:sz w:val="24"/>
          <w:szCs w:val="24"/>
        </w:rPr>
      </w:pPr>
      <w:r w:rsidRPr="00B31071">
        <w:rPr>
          <w:rFonts w:ascii="Times New Roman" w:hAnsi="Times New Roman"/>
          <w:sz w:val="24"/>
          <w:szCs w:val="24"/>
        </w:rPr>
        <w:t>Август</w:t>
      </w:r>
      <w:r w:rsidR="00453AEC">
        <w:rPr>
          <w:rFonts w:ascii="Times New Roman" w:hAnsi="Times New Roman"/>
          <w:sz w:val="24"/>
          <w:szCs w:val="24"/>
          <w:lang w:val="sr-Cyrl-RS"/>
        </w:rPr>
        <w:t xml:space="preserve"> </w:t>
      </w:r>
      <w:r w:rsidRPr="00B31071">
        <w:rPr>
          <w:rFonts w:ascii="Times New Roman" w:hAnsi="Times New Roman"/>
          <w:sz w:val="24"/>
          <w:szCs w:val="24"/>
        </w:rPr>
        <w:t>- 188 мишљења у року од 9 дана</w:t>
      </w:r>
    </w:p>
    <w:p w:rsidR="00BF3283" w:rsidRDefault="00321C6B" w:rsidP="00BF3283">
      <w:pPr>
        <w:rPr>
          <w:rFonts w:ascii="Times New Roman" w:hAnsi="Times New Roman"/>
          <w:sz w:val="24"/>
          <w:szCs w:val="24"/>
          <w:lang w:val="sr-Cyrl-RS"/>
        </w:rPr>
      </w:pPr>
      <w:r>
        <w:rPr>
          <w:rFonts w:ascii="Times New Roman" w:hAnsi="Times New Roman"/>
          <w:sz w:val="24"/>
          <w:szCs w:val="24"/>
          <w:lang w:val="sr-Cyrl-RS"/>
        </w:rPr>
        <w:t>При</w:t>
      </w:r>
      <w:r w:rsidR="00BF3283" w:rsidRPr="00B31071">
        <w:rPr>
          <w:rFonts w:ascii="Times New Roman" w:hAnsi="Times New Roman"/>
          <w:sz w:val="24"/>
          <w:szCs w:val="24"/>
          <w:lang w:val="sr-Cyrl-RS"/>
        </w:rPr>
        <w:t xml:space="preserve"> </w:t>
      </w:r>
      <w:r>
        <w:rPr>
          <w:rFonts w:ascii="Times New Roman" w:hAnsi="Times New Roman"/>
          <w:sz w:val="24"/>
          <w:szCs w:val="24"/>
          <w:lang w:val="sr-Cyrl-RS"/>
        </w:rPr>
        <w:t xml:space="preserve">изради </w:t>
      </w:r>
      <w:r w:rsidR="00BF3283" w:rsidRPr="00B31071">
        <w:rPr>
          <w:rFonts w:ascii="Times New Roman" w:hAnsi="Times New Roman"/>
          <w:sz w:val="24"/>
          <w:szCs w:val="24"/>
          <w:lang w:val="sr-Cyrl-RS"/>
        </w:rPr>
        <w:t>свако</w:t>
      </w:r>
      <w:r>
        <w:rPr>
          <w:rFonts w:ascii="Times New Roman" w:hAnsi="Times New Roman"/>
          <w:sz w:val="24"/>
          <w:szCs w:val="24"/>
          <w:lang w:val="sr-Cyrl-RS"/>
        </w:rPr>
        <w:t>г мишљења,</w:t>
      </w:r>
      <w:r w:rsidR="00BF3283" w:rsidRPr="00B31071">
        <w:rPr>
          <w:rFonts w:ascii="Times New Roman" w:hAnsi="Times New Roman"/>
          <w:sz w:val="24"/>
          <w:szCs w:val="24"/>
          <w:lang w:val="sr-Cyrl-RS"/>
        </w:rPr>
        <w:t xml:space="preserve"> у просеку </w:t>
      </w:r>
      <w:r>
        <w:rPr>
          <w:rFonts w:ascii="Times New Roman" w:hAnsi="Times New Roman"/>
          <w:sz w:val="24"/>
          <w:szCs w:val="24"/>
          <w:lang w:val="sr-Cyrl-RS"/>
        </w:rPr>
        <w:t xml:space="preserve">је потребно </w:t>
      </w:r>
      <w:r w:rsidR="00BF3283" w:rsidRPr="00B31071">
        <w:rPr>
          <w:rFonts w:ascii="Times New Roman" w:hAnsi="Times New Roman"/>
          <w:sz w:val="24"/>
          <w:szCs w:val="24"/>
          <w:lang w:val="sr-Cyrl-RS"/>
        </w:rPr>
        <w:t xml:space="preserve"> 45 минута за припрему.</w:t>
      </w:r>
    </w:p>
    <w:p w:rsidR="00665C35" w:rsidRPr="00665C35" w:rsidRDefault="00665C35" w:rsidP="00740798">
      <w:pPr>
        <w:jc w:val="center"/>
        <w:rPr>
          <w:rFonts w:ascii="Times New Roman" w:hAnsi="Times New Roman"/>
          <w:b/>
          <w:sz w:val="24"/>
          <w:szCs w:val="24"/>
          <w:lang w:val="sr-Cyrl-RS"/>
        </w:rPr>
      </w:pPr>
      <w:r w:rsidRPr="00665C35">
        <w:rPr>
          <w:rFonts w:ascii="Times New Roman" w:hAnsi="Times New Roman"/>
          <w:b/>
          <w:sz w:val="24"/>
          <w:szCs w:val="24"/>
          <w:lang w:val="sr-Cyrl-RS"/>
        </w:rPr>
        <w:t>Слика 15</w:t>
      </w:r>
    </w:p>
    <w:p w:rsidR="00BF3283" w:rsidRPr="00B31071" w:rsidRDefault="00BF3283" w:rsidP="00740798">
      <w:pPr>
        <w:jc w:val="center"/>
        <w:rPr>
          <w:rFonts w:ascii="Times New Roman" w:hAnsi="Times New Roman"/>
          <w:sz w:val="24"/>
          <w:szCs w:val="24"/>
          <w:lang w:val="sr-Cyrl-RS"/>
        </w:rPr>
      </w:pPr>
      <w:r w:rsidRPr="00B31071">
        <w:rPr>
          <w:noProof/>
        </w:rPr>
        <w:drawing>
          <wp:inline distT="0" distB="0" distL="0" distR="0" wp14:anchorId="196D6EA3" wp14:editId="163A2F32">
            <wp:extent cx="4572000" cy="2743200"/>
            <wp:effectExtent l="0" t="0" r="19050" b="1905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p w:rsidR="00BF3283" w:rsidRPr="00B31071" w:rsidRDefault="00BF3283" w:rsidP="00BF3283">
      <w:pPr>
        <w:jc w:val="both"/>
        <w:rPr>
          <w:rFonts w:ascii="Times New Roman" w:hAnsi="Times New Roman"/>
          <w:sz w:val="24"/>
          <w:szCs w:val="24"/>
          <w:lang w:val="sr-Cyrl-RS"/>
        </w:rPr>
      </w:pPr>
      <w:r w:rsidRPr="00B31071">
        <w:rPr>
          <w:rFonts w:ascii="Times New Roman" w:hAnsi="Times New Roman"/>
          <w:sz w:val="24"/>
          <w:szCs w:val="24"/>
          <w:lang w:val="sr-Cyrl-RS"/>
        </w:rPr>
        <w:t>Горњи подаци</w:t>
      </w:r>
      <w:r w:rsidR="00E04FB1">
        <w:rPr>
          <w:rFonts w:ascii="Times New Roman" w:hAnsi="Times New Roman"/>
          <w:sz w:val="24"/>
          <w:szCs w:val="24"/>
          <w:lang w:val="sr-Cyrl-RS"/>
        </w:rPr>
        <w:t xml:space="preserve"> (Слика 15)</w:t>
      </w:r>
      <w:r w:rsidRPr="00B31071">
        <w:rPr>
          <w:rFonts w:ascii="Times New Roman" w:hAnsi="Times New Roman"/>
          <w:sz w:val="24"/>
          <w:szCs w:val="24"/>
          <w:lang w:val="sr-Cyrl-RS"/>
        </w:rPr>
        <w:t xml:space="preserve"> указују да су </w:t>
      </w:r>
      <w:r>
        <w:rPr>
          <w:rFonts w:ascii="Times New Roman" w:hAnsi="Times New Roman"/>
          <w:sz w:val="24"/>
          <w:szCs w:val="24"/>
          <w:lang w:val="sr-Cyrl-RS"/>
        </w:rPr>
        <w:t>сва</w:t>
      </w:r>
      <w:r w:rsidRPr="00B31071">
        <w:rPr>
          <w:rFonts w:ascii="Times New Roman" w:hAnsi="Times New Roman"/>
          <w:sz w:val="24"/>
          <w:szCs w:val="24"/>
          <w:lang w:val="sr-Cyrl-RS"/>
        </w:rPr>
        <w:t xml:space="preserve"> мишљења</w:t>
      </w:r>
      <w:r w:rsidRPr="004B61A1">
        <w:rPr>
          <w:rFonts w:ascii="Times New Roman" w:hAnsi="Times New Roman"/>
          <w:sz w:val="24"/>
          <w:szCs w:val="24"/>
          <w:lang w:val="sr-Cyrl-RS"/>
        </w:rPr>
        <w:t xml:space="preserve"> </w:t>
      </w:r>
      <w:r>
        <w:rPr>
          <w:rFonts w:ascii="Times New Roman" w:hAnsi="Times New Roman"/>
          <w:sz w:val="24"/>
          <w:szCs w:val="24"/>
          <w:lang w:val="sr-Cyrl-RS"/>
        </w:rPr>
        <w:t>(</w:t>
      </w:r>
      <w:r w:rsidRPr="00B31071">
        <w:rPr>
          <w:rFonts w:ascii="Times New Roman" w:hAnsi="Times New Roman"/>
          <w:sz w:val="24"/>
          <w:szCs w:val="24"/>
          <w:lang w:val="sr-Cyrl-RS"/>
        </w:rPr>
        <w:t>око 3000</w:t>
      </w:r>
      <w:r>
        <w:rPr>
          <w:rFonts w:ascii="Times New Roman" w:hAnsi="Times New Roman"/>
          <w:sz w:val="24"/>
          <w:szCs w:val="24"/>
          <w:lang w:val="sr-Cyrl-RS"/>
        </w:rPr>
        <w:t>)</w:t>
      </w:r>
      <w:r w:rsidRPr="00B31071">
        <w:rPr>
          <w:rFonts w:ascii="Times New Roman" w:hAnsi="Times New Roman"/>
          <w:sz w:val="24"/>
          <w:szCs w:val="24"/>
          <w:lang w:val="sr-Cyrl-RS"/>
        </w:rPr>
        <w:t xml:space="preserve">  урађена на време, у оквиру 10-дневног законског рока</w:t>
      </w:r>
      <w:r w:rsidRPr="00B31071">
        <w:rPr>
          <w:rFonts w:ascii="Times New Roman" w:hAnsi="Times New Roman"/>
          <w:sz w:val="24"/>
          <w:szCs w:val="24"/>
        </w:rPr>
        <w:t xml:space="preserve">, </w:t>
      </w:r>
      <w:r w:rsidRPr="00B31071">
        <w:rPr>
          <w:rFonts w:ascii="Times New Roman" w:hAnsi="Times New Roman"/>
          <w:sz w:val="24"/>
          <w:szCs w:val="24"/>
          <w:lang w:val="sr-Cyrl-RS"/>
        </w:rPr>
        <w:t xml:space="preserve">што наручиоцима омогућава да мишљење </w:t>
      </w:r>
      <w:r w:rsidR="00CC2321">
        <w:rPr>
          <w:rFonts w:ascii="Times New Roman" w:hAnsi="Times New Roman"/>
          <w:sz w:val="24"/>
          <w:szCs w:val="24"/>
          <w:lang w:val="sr-Cyrl-RS"/>
        </w:rPr>
        <w:t xml:space="preserve">добију </w:t>
      </w:r>
      <w:r w:rsidRPr="00E04FB1">
        <w:rPr>
          <w:rFonts w:ascii="Times New Roman" w:hAnsi="Times New Roman"/>
          <w:sz w:val="24"/>
          <w:szCs w:val="24"/>
          <w:lang w:val="sr-Cyrl-RS"/>
        </w:rPr>
        <w:t>благовремено</w:t>
      </w:r>
      <w:r w:rsidRPr="00E04FB1">
        <w:rPr>
          <w:rFonts w:ascii="Times New Roman" w:hAnsi="Times New Roman"/>
          <w:sz w:val="24"/>
          <w:szCs w:val="24"/>
        </w:rPr>
        <w:t>,</w:t>
      </w:r>
      <w:r w:rsidRPr="00B31071">
        <w:rPr>
          <w:rFonts w:ascii="Times New Roman" w:hAnsi="Times New Roman"/>
          <w:sz w:val="24"/>
          <w:szCs w:val="24"/>
        </w:rPr>
        <w:t xml:space="preserve"> </w:t>
      </w:r>
      <w:r w:rsidRPr="00B31071">
        <w:rPr>
          <w:rFonts w:ascii="Times New Roman" w:hAnsi="Times New Roman"/>
          <w:sz w:val="24"/>
          <w:szCs w:val="24"/>
          <w:lang w:val="sr-Cyrl-RS"/>
        </w:rPr>
        <w:t>пре н</w:t>
      </w:r>
      <w:r w:rsidR="00CC2321">
        <w:rPr>
          <w:rFonts w:ascii="Times New Roman" w:hAnsi="Times New Roman"/>
          <w:sz w:val="24"/>
          <w:szCs w:val="24"/>
          <w:lang w:val="sr-Cyrl-RS"/>
        </w:rPr>
        <w:t>ег</w:t>
      </w:r>
      <w:r w:rsidRPr="00B31071">
        <w:rPr>
          <w:rFonts w:ascii="Times New Roman" w:hAnsi="Times New Roman"/>
          <w:sz w:val="24"/>
          <w:szCs w:val="24"/>
          <w:lang w:val="sr-Cyrl-RS"/>
        </w:rPr>
        <w:t>о што донесу одлуку о врсти поступка коју ће да примене.</w:t>
      </w:r>
    </w:p>
    <w:p w:rsidR="00BF3283" w:rsidRPr="00CC2C34" w:rsidRDefault="00BF3283" w:rsidP="00CC2C34">
      <w:pPr>
        <w:jc w:val="both"/>
        <w:rPr>
          <w:rFonts w:ascii="Times New Roman" w:hAnsi="Times New Roman"/>
          <w:sz w:val="24"/>
          <w:szCs w:val="24"/>
          <w:lang w:val="sr-Cyrl-RS"/>
        </w:rPr>
      </w:pPr>
      <w:r w:rsidRPr="00B31071">
        <w:rPr>
          <w:rFonts w:ascii="Times New Roman" w:hAnsi="Times New Roman"/>
          <w:sz w:val="24"/>
          <w:szCs w:val="24"/>
          <w:lang w:val="sr-Cyrl-RS"/>
        </w:rPr>
        <w:t xml:space="preserve">Ово се показало као моћан инструмент за спречавање </w:t>
      </w:r>
      <w:r w:rsidRPr="00E04FB1">
        <w:rPr>
          <w:rFonts w:ascii="Times New Roman" w:hAnsi="Times New Roman"/>
          <w:sz w:val="24"/>
          <w:szCs w:val="24"/>
          <w:lang w:val="sr-Cyrl-RS"/>
        </w:rPr>
        <w:t>неоправдане</w:t>
      </w:r>
      <w:r>
        <w:rPr>
          <w:rFonts w:ascii="Times New Roman" w:hAnsi="Times New Roman"/>
          <w:color w:val="00B050"/>
          <w:sz w:val="24"/>
          <w:szCs w:val="24"/>
          <w:lang w:val="sr-Cyrl-RS"/>
        </w:rPr>
        <w:t xml:space="preserve"> </w:t>
      </w:r>
      <w:r w:rsidRPr="00B31071">
        <w:rPr>
          <w:rFonts w:ascii="Times New Roman" w:hAnsi="Times New Roman"/>
          <w:sz w:val="24"/>
          <w:szCs w:val="24"/>
          <w:lang w:val="sr-Cyrl-RS"/>
        </w:rPr>
        <w:t>примене неконкурентних и нетранспарентних поступака у 2014. години, што је резултир</w:t>
      </w:r>
      <w:r>
        <w:rPr>
          <w:rFonts w:ascii="Times New Roman" w:hAnsi="Times New Roman"/>
          <w:sz w:val="24"/>
          <w:szCs w:val="24"/>
          <w:lang w:val="sr-Cyrl-RS"/>
        </w:rPr>
        <w:t xml:space="preserve">ало значајним смањењем </w:t>
      </w:r>
      <w:r w:rsidRPr="00B31071">
        <w:rPr>
          <w:rFonts w:ascii="Times New Roman" w:hAnsi="Times New Roman"/>
          <w:sz w:val="24"/>
          <w:szCs w:val="24"/>
          <w:lang w:val="sr-Cyrl-RS"/>
        </w:rPr>
        <w:t>удела преговарачког поступка без објављивања позива у укупној вредности јавних набавки са 24% у првој половини 2013</w:t>
      </w:r>
      <w:r>
        <w:rPr>
          <w:rFonts w:ascii="Times New Roman" w:hAnsi="Times New Roman"/>
          <w:sz w:val="24"/>
          <w:szCs w:val="24"/>
          <w:lang w:val="sr-Cyrl-RS"/>
        </w:rPr>
        <w:t>.</w:t>
      </w:r>
      <w:r w:rsidR="00C15892">
        <w:rPr>
          <w:rFonts w:ascii="Times New Roman" w:hAnsi="Times New Roman"/>
          <w:sz w:val="24"/>
          <w:szCs w:val="24"/>
          <w:lang w:val="sr-Cyrl-RS"/>
        </w:rPr>
        <w:t xml:space="preserve"> </w:t>
      </w:r>
      <w:r w:rsidRPr="00B31071">
        <w:rPr>
          <w:rFonts w:ascii="Times New Roman" w:hAnsi="Times New Roman"/>
          <w:sz w:val="24"/>
          <w:szCs w:val="24"/>
          <w:lang w:val="sr-Cyrl-RS"/>
        </w:rPr>
        <w:t xml:space="preserve"> на 4% у првој половини 2014.</w:t>
      </w:r>
      <w:r>
        <w:rPr>
          <w:rFonts w:ascii="Times New Roman" w:hAnsi="Times New Roman"/>
          <w:sz w:val="24"/>
          <w:szCs w:val="24"/>
          <w:lang w:val="sr-Cyrl-RS"/>
        </w:rPr>
        <w:t xml:space="preserve"> </w:t>
      </w:r>
      <w:r w:rsidR="00894EF2">
        <w:rPr>
          <w:rFonts w:ascii="Times New Roman" w:hAnsi="Times New Roman"/>
          <w:sz w:val="24"/>
          <w:szCs w:val="24"/>
          <w:lang w:val="sr-Cyrl-RS"/>
        </w:rPr>
        <w:t>г</w:t>
      </w:r>
      <w:r>
        <w:rPr>
          <w:rFonts w:ascii="Times New Roman" w:hAnsi="Times New Roman"/>
          <w:sz w:val="24"/>
          <w:szCs w:val="24"/>
          <w:lang w:val="sr-Cyrl-RS"/>
        </w:rPr>
        <w:t>одине.</w:t>
      </w:r>
    </w:p>
    <w:p w:rsidR="00BF3283" w:rsidRPr="00490AAD" w:rsidRDefault="00BF3283" w:rsidP="00BF3283">
      <w:pPr>
        <w:rPr>
          <w:rFonts w:ascii="Times New Roman" w:hAnsi="Times New Roman"/>
          <w:b/>
          <w:sz w:val="24"/>
          <w:szCs w:val="24"/>
          <w:lang w:val="sr-Cyrl-RS"/>
        </w:rPr>
      </w:pPr>
      <w:r w:rsidRPr="00593C1D">
        <w:rPr>
          <w:rFonts w:ascii="Times New Roman" w:hAnsi="Times New Roman"/>
          <w:b/>
          <w:sz w:val="24"/>
          <w:szCs w:val="24"/>
          <w:lang w:val="sr-Cyrl-RS"/>
        </w:rPr>
        <w:t>Т</w:t>
      </w:r>
      <w:r w:rsidRPr="00593C1D">
        <w:rPr>
          <w:rFonts w:ascii="Times New Roman" w:hAnsi="Times New Roman"/>
          <w:b/>
          <w:sz w:val="24"/>
          <w:szCs w:val="24"/>
        </w:rPr>
        <w:t>e</w:t>
      </w:r>
      <w:r w:rsidRPr="00593C1D">
        <w:rPr>
          <w:rFonts w:ascii="Times New Roman" w:hAnsi="Times New Roman"/>
          <w:b/>
          <w:sz w:val="24"/>
          <w:szCs w:val="24"/>
          <w:lang w:val="sr-Cyrl-RS"/>
        </w:rPr>
        <w:t>лефонске консултације</w:t>
      </w:r>
    </w:p>
    <w:p w:rsidR="00BF3283" w:rsidRPr="00593C1D" w:rsidRDefault="00BF3283" w:rsidP="00BF3283">
      <w:pPr>
        <w:jc w:val="both"/>
        <w:rPr>
          <w:rFonts w:ascii="Times New Roman" w:hAnsi="Times New Roman"/>
          <w:sz w:val="24"/>
          <w:szCs w:val="24"/>
          <w:u w:val="single"/>
        </w:rPr>
      </w:pPr>
      <w:r w:rsidRPr="00490AAD">
        <w:rPr>
          <w:rFonts w:ascii="Times New Roman" w:hAnsi="Times New Roman"/>
          <w:i/>
          <w:sz w:val="24"/>
          <w:szCs w:val="24"/>
          <w:u w:val="single"/>
          <w:lang w:val="sr-Cyrl-RS"/>
        </w:rPr>
        <w:t>Правне консултације</w:t>
      </w:r>
      <w:r w:rsidRPr="00490AAD">
        <w:rPr>
          <w:rFonts w:ascii="Times New Roman" w:hAnsi="Times New Roman"/>
          <w:sz w:val="24"/>
          <w:szCs w:val="24"/>
          <w:u w:val="single"/>
        </w:rPr>
        <w:t>:</w:t>
      </w:r>
      <w:r w:rsidRPr="00490AAD">
        <w:rPr>
          <w:rFonts w:ascii="Times New Roman" w:hAnsi="Times New Roman"/>
          <w:sz w:val="24"/>
          <w:szCs w:val="24"/>
        </w:rPr>
        <w:t xml:space="preserve"> </w:t>
      </w:r>
      <w:r w:rsidRPr="00490AAD">
        <w:rPr>
          <w:rFonts w:ascii="Times New Roman" w:hAnsi="Times New Roman"/>
          <w:sz w:val="24"/>
          <w:szCs w:val="24"/>
          <w:lang w:val="sr-Cyrl-RS"/>
        </w:rPr>
        <w:t xml:space="preserve"> у просеку</w:t>
      </w:r>
      <w:r w:rsidRPr="00490AAD">
        <w:rPr>
          <w:rFonts w:ascii="Times New Roman" w:hAnsi="Times New Roman"/>
          <w:sz w:val="24"/>
          <w:szCs w:val="24"/>
        </w:rPr>
        <w:t xml:space="preserve">, </w:t>
      </w:r>
      <w:r>
        <w:rPr>
          <w:rFonts w:ascii="Times New Roman" w:hAnsi="Times New Roman"/>
          <w:sz w:val="24"/>
          <w:szCs w:val="24"/>
          <w:lang w:val="sr-Cyrl-RS"/>
        </w:rPr>
        <w:t xml:space="preserve">Управа </w:t>
      </w:r>
      <w:r w:rsidRPr="00490AAD">
        <w:rPr>
          <w:rFonts w:ascii="Times New Roman" w:hAnsi="Times New Roman"/>
          <w:sz w:val="24"/>
          <w:szCs w:val="24"/>
          <w:lang w:val="sr-Cyrl-RS"/>
        </w:rPr>
        <w:t xml:space="preserve"> даје</w:t>
      </w:r>
      <w:r w:rsidRPr="00490AAD">
        <w:rPr>
          <w:rFonts w:ascii="Times New Roman" w:hAnsi="Times New Roman"/>
          <w:sz w:val="24"/>
          <w:szCs w:val="24"/>
        </w:rPr>
        <w:t xml:space="preserve"> 35 </w:t>
      </w:r>
      <w:r w:rsidRPr="00490AAD">
        <w:rPr>
          <w:rFonts w:ascii="Times New Roman" w:hAnsi="Times New Roman"/>
          <w:sz w:val="24"/>
          <w:szCs w:val="24"/>
          <w:lang w:val="sr-Cyrl-RS"/>
        </w:rPr>
        <w:t xml:space="preserve">телефонских консултација о примени одредби </w:t>
      </w:r>
      <w:r w:rsidR="00C15892">
        <w:rPr>
          <w:rFonts w:ascii="Times New Roman" w:hAnsi="Times New Roman"/>
          <w:sz w:val="24"/>
          <w:szCs w:val="24"/>
          <w:lang w:val="sr-Cyrl-RS"/>
        </w:rPr>
        <w:t>З</w:t>
      </w:r>
      <w:r>
        <w:rPr>
          <w:rFonts w:ascii="Times New Roman" w:hAnsi="Times New Roman"/>
          <w:sz w:val="24"/>
          <w:szCs w:val="24"/>
          <w:lang w:val="sr-Cyrl-RS"/>
        </w:rPr>
        <w:t>акона</w:t>
      </w:r>
      <w:r w:rsidRPr="00490AAD">
        <w:rPr>
          <w:rFonts w:ascii="Times New Roman" w:hAnsi="Times New Roman"/>
          <w:sz w:val="24"/>
          <w:szCs w:val="24"/>
          <w:lang w:val="sr-Cyrl-RS"/>
        </w:rPr>
        <w:t xml:space="preserve"> дневно</w:t>
      </w:r>
      <w:r w:rsidRPr="00490AAD">
        <w:rPr>
          <w:rFonts w:ascii="Times New Roman" w:hAnsi="Times New Roman"/>
          <w:sz w:val="24"/>
          <w:szCs w:val="24"/>
        </w:rPr>
        <w:t xml:space="preserve">. </w:t>
      </w:r>
      <w:r w:rsidRPr="00490AAD">
        <w:rPr>
          <w:rFonts w:ascii="Times New Roman" w:hAnsi="Times New Roman"/>
          <w:sz w:val="24"/>
          <w:szCs w:val="24"/>
          <w:lang w:val="sr-Cyrl-RS"/>
        </w:rPr>
        <w:t>Свака консултација просечно траје</w:t>
      </w:r>
      <w:r w:rsidRPr="00490AAD">
        <w:rPr>
          <w:rFonts w:ascii="Times New Roman" w:hAnsi="Times New Roman"/>
          <w:sz w:val="24"/>
          <w:szCs w:val="24"/>
        </w:rPr>
        <w:t xml:space="preserve"> 15 </w:t>
      </w:r>
      <w:r w:rsidRPr="00490AAD">
        <w:rPr>
          <w:rFonts w:ascii="Times New Roman" w:hAnsi="Times New Roman"/>
          <w:sz w:val="24"/>
          <w:szCs w:val="24"/>
          <w:lang w:val="sr-Cyrl-RS"/>
        </w:rPr>
        <w:t>минута</w:t>
      </w:r>
      <w:r w:rsidRPr="00490AAD">
        <w:rPr>
          <w:rFonts w:ascii="Times New Roman" w:hAnsi="Times New Roman"/>
          <w:sz w:val="24"/>
          <w:szCs w:val="24"/>
        </w:rPr>
        <w:t xml:space="preserve">, </w:t>
      </w:r>
      <w:r w:rsidRPr="00490AAD">
        <w:rPr>
          <w:rFonts w:ascii="Times New Roman" w:hAnsi="Times New Roman"/>
          <w:sz w:val="24"/>
          <w:szCs w:val="24"/>
          <w:lang w:val="sr-Cyrl-RS"/>
        </w:rPr>
        <w:t>што чини</w:t>
      </w:r>
      <w:r w:rsidRPr="00490AAD">
        <w:rPr>
          <w:rFonts w:ascii="Times New Roman" w:hAnsi="Times New Roman"/>
          <w:sz w:val="24"/>
          <w:szCs w:val="24"/>
        </w:rPr>
        <w:t xml:space="preserve"> 525 </w:t>
      </w:r>
      <w:r w:rsidRPr="00490AAD">
        <w:rPr>
          <w:rFonts w:ascii="Times New Roman" w:hAnsi="Times New Roman"/>
          <w:sz w:val="24"/>
          <w:szCs w:val="24"/>
          <w:lang w:val="sr-Cyrl-RS"/>
        </w:rPr>
        <w:t>минута днев</w:t>
      </w:r>
      <w:r w:rsidR="00373BF2">
        <w:rPr>
          <w:rFonts w:ascii="Times New Roman" w:hAnsi="Times New Roman"/>
          <w:sz w:val="24"/>
          <w:szCs w:val="24"/>
          <w:lang w:val="sr-Cyrl-RS"/>
        </w:rPr>
        <w:t>н</w:t>
      </w:r>
      <w:r w:rsidRPr="00490AAD">
        <w:rPr>
          <w:rFonts w:ascii="Times New Roman" w:hAnsi="Times New Roman"/>
          <w:sz w:val="24"/>
          <w:szCs w:val="24"/>
          <w:lang w:val="sr-Cyrl-RS"/>
        </w:rPr>
        <w:t>о</w:t>
      </w:r>
      <w:r w:rsidRPr="00490AAD">
        <w:rPr>
          <w:rFonts w:ascii="Times New Roman" w:hAnsi="Times New Roman"/>
          <w:sz w:val="24"/>
          <w:szCs w:val="24"/>
        </w:rPr>
        <w:t xml:space="preserve">, </w:t>
      </w:r>
      <w:r w:rsidRPr="00490AAD">
        <w:rPr>
          <w:rFonts w:ascii="Times New Roman" w:hAnsi="Times New Roman"/>
          <w:sz w:val="24"/>
          <w:szCs w:val="24"/>
          <w:lang w:val="sr-Cyrl-RS"/>
        </w:rPr>
        <w:t>што је</w:t>
      </w:r>
      <w:r w:rsidRPr="00490AAD">
        <w:rPr>
          <w:rFonts w:ascii="Times New Roman" w:hAnsi="Times New Roman"/>
          <w:sz w:val="24"/>
          <w:szCs w:val="24"/>
        </w:rPr>
        <w:t xml:space="preserve"> </w:t>
      </w:r>
      <w:r w:rsidRPr="00490AAD">
        <w:rPr>
          <w:rFonts w:ascii="Times New Roman" w:hAnsi="Times New Roman"/>
          <w:sz w:val="24"/>
          <w:szCs w:val="24"/>
          <w:lang w:val="sr-Cyrl-RS"/>
        </w:rPr>
        <w:t>готово</w:t>
      </w:r>
      <w:r w:rsidRPr="00490AAD">
        <w:rPr>
          <w:rFonts w:ascii="Times New Roman" w:hAnsi="Times New Roman"/>
          <w:sz w:val="24"/>
          <w:szCs w:val="24"/>
        </w:rPr>
        <w:t xml:space="preserve"> </w:t>
      </w:r>
      <w:r w:rsidRPr="00490AAD">
        <w:rPr>
          <w:rFonts w:ascii="Times New Roman" w:hAnsi="Times New Roman"/>
          <w:sz w:val="24"/>
          <w:szCs w:val="24"/>
          <w:lang w:val="sr-Cyrl-RS"/>
        </w:rPr>
        <w:t xml:space="preserve">9 човек/часова </w:t>
      </w:r>
      <w:r>
        <w:rPr>
          <w:rFonts w:ascii="Times New Roman" w:hAnsi="Times New Roman"/>
          <w:sz w:val="24"/>
          <w:szCs w:val="24"/>
          <w:lang w:val="sr-Cyrl-RS"/>
        </w:rPr>
        <w:t>(</w:t>
      </w:r>
      <w:r w:rsidRPr="00490AAD">
        <w:rPr>
          <w:rFonts w:ascii="Times New Roman" w:hAnsi="Times New Roman"/>
          <w:sz w:val="24"/>
          <w:szCs w:val="24"/>
        </w:rPr>
        <w:t xml:space="preserve">8,75 </w:t>
      </w:r>
      <w:r>
        <w:rPr>
          <w:rFonts w:ascii="Times New Roman" w:hAnsi="Times New Roman"/>
          <w:sz w:val="24"/>
          <w:szCs w:val="24"/>
          <w:lang w:val="sr-Cyrl-RS"/>
        </w:rPr>
        <w:t>ч/ч)</w:t>
      </w:r>
      <w:r w:rsidRPr="00E6282F">
        <w:rPr>
          <w:rFonts w:ascii="Times New Roman" w:hAnsi="Times New Roman"/>
          <w:sz w:val="24"/>
          <w:szCs w:val="24"/>
          <w:lang w:val="sr-Cyrl-RS"/>
        </w:rPr>
        <w:t xml:space="preserve"> </w:t>
      </w:r>
      <w:r w:rsidRPr="00490AAD">
        <w:rPr>
          <w:rFonts w:ascii="Times New Roman" w:hAnsi="Times New Roman"/>
          <w:sz w:val="24"/>
          <w:szCs w:val="24"/>
          <w:lang w:val="sr-Cyrl-RS"/>
        </w:rPr>
        <w:t>дневно</w:t>
      </w:r>
      <w:r w:rsidRPr="00593C1D">
        <w:rPr>
          <w:rFonts w:ascii="Times New Roman" w:hAnsi="Times New Roman"/>
          <w:sz w:val="24"/>
          <w:szCs w:val="24"/>
          <w:lang w:val="sr-Cyrl-RS"/>
        </w:rPr>
        <w:t>.</w:t>
      </w:r>
      <w:r w:rsidRPr="00593C1D">
        <w:rPr>
          <w:rFonts w:ascii="Times New Roman" w:hAnsi="Times New Roman"/>
          <w:sz w:val="24"/>
          <w:szCs w:val="24"/>
        </w:rPr>
        <w:t xml:space="preserve">  </w:t>
      </w:r>
    </w:p>
    <w:p w:rsidR="00BF3283" w:rsidRPr="00593C1D" w:rsidRDefault="00BF3283" w:rsidP="00BF3283">
      <w:pPr>
        <w:jc w:val="both"/>
        <w:rPr>
          <w:rFonts w:ascii="Times New Roman" w:hAnsi="Times New Roman"/>
          <w:sz w:val="24"/>
          <w:szCs w:val="24"/>
          <w:lang w:val="sr-Cyrl-RS"/>
        </w:rPr>
      </w:pPr>
      <w:r w:rsidRPr="00593C1D">
        <w:rPr>
          <w:rFonts w:ascii="Times New Roman" w:hAnsi="Times New Roman"/>
          <w:i/>
          <w:sz w:val="24"/>
          <w:szCs w:val="24"/>
          <w:u w:val="single"/>
          <w:lang w:val="sr-Cyrl-RS"/>
        </w:rPr>
        <w:t>Планирање набавки</w:t>
      </w:r>
      <w:r w:rsidRPr="00593C1D">
        <w:rPr>
          <w:rFonts w:ascii="Times New Roman" w:hAnsi="Times New Roman"/>
          <w:i/>
          <w:sz w:val="24"/>
          <w:szCs w:val="24"/>
          <w:u w:val="single"/>
        </w:rPr>
        <w:t>:</w:t>
      </w:r>
      <w:r w:rsidRPr="00593C1D">
        <w:rPr>
          <w:rFonts w:ascii="Times New Roman" w:hAnsi="Times New Roman"/>
          <w:sz w:val="24"/>
          <w:szCs w:val="24"/>
        </w:rPr>
        <w:t xml:space="preserve"> </w:t>
      </w:r>
      <w:r w:rsidRPr="00593C1D">
        <w:rPr>
          <w:rFonts w:ascii="Times New Roman" w:hAnsi="Times New Roman"/>
          <w:sz w:val="24"/>
          <w:szCs w:val="24"/>
          <w:lang w:val="sr-Cyrl-RS"/>
        </w:rPr>
        <w:t>у просеку</w:t>
      </w:r>
      <w:r w:rsidRPr="00593C1D">
        <w:rPr>
          <w:rFonts w:ascii="Times New Roman" w:hAnsi="Times New Roman"/>
          <w:sz w:val="24"/>
          <w:szCs w:val="24"/>
        </w:rPr>
        <w:t xml:space="preserve">, </w:t>
      </w:r>
      <w:r>
        <w:rPr>
          <w:rFonts w:ascii="Times New Roman" w:hAnsi="Times New Roman"/>
          <w:sz w:val="24"/>
          <w:szCs w:val="24"/>
          <w:lang w:val="sr-Cyrl-RS"/>
        </w:rPr>
        <w:t>управа</w:t>
      </w:r>
      <w:r w:rsidRPr="00593C1D">
        <w:rPr>
          <w:rFonts w:ascii="Times New Roman" w:hAnsi="Times New Roman"/>
          <w:sz w:val="24"/>
          <w:szCs w:val="24"/>
        </w:rPr>
        <w:t xml:space="preserve"> </w:t>
      </w:r>
      <w:r w:rsidRPr="00593C1D">
        <w:rPr>
          <w:rFonts w:ascii="Times New Roman" w:hAnsi="Times New Roman"/>
          <w:sz w:val="24"/>
          <w:szCs w:val="24"/>
          <w:lang w:val="sr-Cyrl-RS"/>
        </w:rPr>
        <w:t>даје</w:t>
      </w:r>
      <w:r w:rsidRPr="00593C1D">
        <w:rPr>
          <w:rFonts w:ascii="Times New Roman" w:hAnsi="Times New Roman"/>
          <w:sz w:val="24"/>
          <w:szCs w:val="24"/>
        </w:rPr>
        <w:t xml:space="preserve"> 25 </w:t>
      </w:r>
      <w:r w:rsidRPr="00593C1D">
        <w:rPr>
          <w:rFonts w:ascii="Times New Roman" w:hAnsi="Times New Roman"/>
          <w:sz w:val="24"/>
          <w:szCs w:val="24"/>
          <w:lang w:val="sr-Cyrl-RS"/>
        </w:rPr>
        <w:t>телефонских консултација</w:t>
      </w:r>
      <w:r w:rsidRPr="00593C1D">
        <w:rPr>
          <w:rFonts w:ascii="Times New Roman" w:hAnsi="Times New Roman"/>
          <w:sz w:val="24"/>
          <w:szCs w:val="24"/>
        </w:rPr>
        <w:t xml:space="preserve"> </w:t>
      </w:r>
      <w:r w:rsidRPr="00593C1D">
        <w:rPr>
          <w:rFonts w:ascii="Times New Roman" w:hAnsi="Times New Roman"/>
          <w:sz w:val="24"/>
          <w:szCs w:val="24"/>
          <w:lang w:val="sr-Cyrl-RS"/>
        </w:rPr>
        <w:t>дневно</w:t>
      </w:r>
      <w:r w:rsidRPr="00593C1D">
        <w:rPr>
          <w:rFonts w:ascii="Times New Roman" w:hAnsi="Times New Roman"/>
          <w:sz w:val="24"/>
          <w:szCs w:val="24"/>
        </w:rPr>
        <w:t xml:space="preserve">, </w:t>
      </w:r>
      <w:r w:rsidRPr="00593C1D">
        <w:rPr>
          <w:rFonts w:ascii="Times New Roman" w:hAnsi="Times New Roman"/>
          <w:sz w:val="24"/>
          <w:szCs w:val="24"/>
          <w:lang w:val="sr-Cyrl-RS"/>
        </w:rPr>
        <w:t xml:space="preserve">а свака консултација траје </w:t>
      </w:r>
      <w:r w:rsidRPr="00593C1D">
        <w:rPr>
          <w:rFonts w:ascii="Times New Roman" w:hAnsi="Times New Roman"/>
          <w:sz w:val="24"/>
          <w:szCs w:val="24"/>
        </w:rPr>
        <w:t xml:space="preserve"> 20 </w:t>
      </w:r>
      <w:r w:rsidRPr="00593C1D">
        <w:rPr>
          <w:rFonts w:ascii="Times New Roman" w:hAnsi="Times New Roman"/>
          <w:sz w:val="24"/>
          <w:szCs w:val="24"/>
          <w:lang w:val="sr-Cyrl-RS"/>
        </w:rPr>
        <w:t>минута у просеку</w:t>
      </w:r>
      <w:r w:rsidRPr="00593C1D">
        <w:rPr>
          <w:rFonts w:ascii="Times New Roman" w:hAnsi="Times New Roman"/>
          <w:sz w:val="24"/>
          <w:szCs w:val="24"/>
        </w:rPr>
        <w:t xml:space="preserve">, </w:t>
      </w:r>
      <w:r w:rsidRPr="00593C1D">
        <w:rPr>
          <w:rFonts w:ascii="Times New Roman" w:hAnsi="Times New Roman"/>
          <w:sz w:val="24"/>
          <w:szCs w:val="24"/>
          <w:lang w:val="sr-Cyrl-RS"/>
        </w:rPr>
        <w:t>што чини</w:t>
      </w:r>
      <w:r w:rsidRPr="00593C1D">
        <w:rPr>
          <w:rFonts w:ascii="Times New Roman" w:hAnsi="Times New Roman"/>
          <w:sz w:val="24"/>
          <w:szCs w:val="24"/>
        </w:rPr>
        <w:t xml:space="preserve">  500 </w:t>
      </w:r>
      <w:r w:rsidRPr="00593C1D">
        <w:rPr>
          <w:rFonts w:ascii="Times New Roman" w:hAnsi="Times New Roman"/>
          <w:sz w:val="24"/>
          <w:szCs w:val="24"/>
          <w:lang w:val="sr-Cyrl-RS"/>
        </w:rPr>
        <w:t>минута</w:t>
      </w:r>
      <w:r w:rsidRPr="00593C1D">
        <w:rPr>
          <w:rFonts w:ascii="Times New Roman" w:hAnsi="Times New Roman"/>
          <w:sz w:val="24"/>
          <w:szCs w:val="24"/>
        </w:rPr>
        <w:t xml:space="preserve"> </w:t>
      </w:r>
      <w:r w:rsidRPr="00593C1D">
        <w:rPr>
          <w:rFonts w:ascii="Times New Roman" w:hAnsi="Times New Roman"/>
          <w:sz w:val="24"/>
          <w:szCs w:val="24"/>
          <w:lang w:val="sr-Cyrl-RS"/>
        </w:rPr>
        <w:t>или</w:t>
      </w:r>
      <w:r w:rsidRPr="00593C1D">
        <w:rPr>
          <w:rFonts w:ascii="Times New Roman" w:hAnsi="Times New Roman"/>
          <w:sz w:val="24"/>
          <w:szCs w:val="24"/>
        </w:rPr>
        <w:t xml:space="preserve"> </w:t>
      </w:r>
      <w:r>
        <w:rPr>
          <w:rFonts w:ascii="Times New Roman" w:hAnsi="Times New Roman"/>
          <w:sz w:val="24"/>
          <w:szCs w:val="24"/>
          <w:lang w:val="sr-Cyrl-CS"/>
        </w:rPr>
        <w:t xml:space="preserve">око </w:t>
      </w:r>
      <w:r w:rsidRPr="00593C1D">
        <w:rPr>
          <w:rFonts w:ascii="Times New Roman" w:hAnsi="Times New Roman"/>
          <w:sz w:val="24"/>
          <w:szCs w:val="24"/>
        </w:rPr>
        <w:t xml:space="preserve">8 </w:t>
      </w:r>
      <w:r w:rsidRPr="00593C1D">
        <w:rPr>
          <w:rFonts w:ascii="Times New Roman" w:hAnsi="Times New Roman"/>
          <w:sz w:val="24"/>
          <w:szCs w:val="24"/>
          <w:lang w:val="sr-Cyrl-RS"/>
        </w:rPr>
        <w:t>човек</w:t>
      </w:r>
      <w:r w:rsidRPr="00593C1D">
        <w:rPr>
          <w:rFonts w:ascii="Times New Roman" w:hAnsi="Times New Roman"/>
          <w:sz w:val="24"/>
          <w:szCs w:val="24"/>
        </w:rPr>
        <w:t>/</w:t>
      </w:r>
      <w:r w:rsidRPr="00593C1D">
        <w:rPr>
          <w:rFonts w:ascii="Times New Roman" w:hAnsi="Times New Roman"/>
          <w:sz w:val="24"/>
          <w:szCs w:val="24"/>
          <w:lang w:val="sr-Cyrl-RS"/>
        </w:rPr>
        <w:t>часова</w:t>
      </w:r>
      <w:r w:rsidRPr="00593C1D">
        <w:rPr>
          <w:rFonts w:ascii="Times New Roman" w:hAnsi="Times New Roman"/>
          <w:sz w:val="24"/>
          <w:szCs w:val="24"/>
        </w:rPr>
        <w:t xml:space="preserve"> (8,3 </w:t>
      </w:r>
      <w:r w:rsidRPr="00593C1D">
        <w:rPr>
          <w:rFonts w:ascii="Times New Roman" w:hAnsi="Times New Roman"/>
          <w:sz w:val="24"/>
          <w:szCs w:val="24"/>
          <w:lang w:val="sr-Cyrl-RS"/>
        </w:rPr>
        <w:t>ч</w:t>
      </w:r>
      <w:r w:rsidRPr="00593C1D">
        <w:rPr>
          <w:rFonts w:ascii="Times New Roman" w:hAnsi="Times New Roman"/>
          <w:sz w:val="24"/>
          <w:szCs w:val="24"/>
        </w:rPr>
        <w:t>/</w:t>
      </w:r>
      <w:r w:rsidRPr="00593C1D">
        <w:rPr>
          <w:rFonts w:ascii="Times New Roman" w:hAnsi="Times New Roman"/>
          <w:sz w:val="24"/>
          <w:szCs w:val="24"/>
          <w:lang w:val="sr-Cyrl-RS"/>
        </w:rPr>
        <w:t>ч</w:t>
      </w:r>
      <w:r w:rsidRPr="00593C1D">
        <w:rPr>
          <w:rFonts w:ascii="Times New Roman" w:hAnsi="Times New Roman"/>
          <w:sz w:val="24"/>
          <w:szCs w:val="24"/>
        </w:rPr>
        <w:t>)</w:t>
      </w:r>
      <w:r w:rsidRPr="00E6282F">
        <w:rPr>
          <w:rFonts w:ascii="Times New Roman" w:hAnsi="Times New Roman"/>
          <w:sz w:val="24"/>
          <w:szCs w:val="24"/>
          <w:lang w:val="sr-Cyrl-CS"/>
        </w:rPr>
        <w:t xml:space="preserve"> </w:t>
      </w:r>
      <w:r>
        <w:rPr>
          <w:rFonts w:ascii="Times New Roman" w:hAnsi="Times New Roman"/>
          <w:sz w:val="24"/>
          <w:szCs w:val="24"/>
          <w:lang w:val="sr-Cyrl-CS"/>
        </w:rPr>
        <w:t>дневно</w:t>
      </w:r>
      <w:r w:rsidRPr="00593C1D">
        <w:rPr>
          <w:rFonts w:ascii="Times New Roman" w:hAnsi="Times New Roman"/>
          <w:sz w:val="24"/>
          <w:szCs w:val="24"/>
          <w:lang w:val="sr-Cyrl-RS"/>
        </w:rPr>
        <w:t>.</w:t>
      </w:r>
    </w:p>
    <w:p w:rsidR="00BF3283" w:rsidRPr="00593C1D" w:rsidRDefault="00BF3283" w:rsidP="00BF3283">
      <w:pPr>
        <w:jc w:val="both"/>
        <w:rPr>
          <w:rFonts w:ascii="Times New Roman" w:hAnsi="Times New Roman"/>
          <w:sz w:val="24"/>
          <w:szCs w:val="24"/>
          <w:lang w:val="sr-Cyrl-RS"/>
        </w:rPr>
      </w:pPr>
      <w:r w:rsidRPr="00593C1D">
        <w:rPr>
          <w:rFonts w:ascii="Times New Roman" w:hAnsi="Times New Roman"/>
          <w:i/>
          <w:sz w:val="24"/>
          <w:szCs w:val="24"/>
          <w:u w:val="single"/>
          <w:lang w:val="sr-Cyrl-RS"/>
        </w:rPr>
        <w:lastRenderedPageBreak/>
        <w:t>Портал јавних набавки</w:t>
      </w:r>
      <w:r w:rsidRPr="00593C1D">
        <w:rPr>
          <w:rFonts w:ascii="Times New Roman" w:hAnsi="Times New Roman"/>
          <w:i/>
          <w:sz w:val="24"/>
          <w:szCs w:val="24"/>
          <w:u w:val="single"/>
        </w:rPr>
        <w:t>:</w:t>
      </w:r>
      <w:r w:rsidRPr="00593C1D">
        <w:rPr>
          <w:rFonts w:ascii="Times New Roman" w:hAnsi="Times New Roman"/>
          <w:sz w:val="24"/>
          <w:szCs w:val="24"/>
        </w:rPr>
        <w:t xml:space="preserve"> </w:t>
      </w:r>
      <w:r w:rsidRPr="00593C1D">
        <w:rPr>
          <w:rFonts w:ascii="Times New Roman" w:hAnsi="Times New Roman"/>
          <w:sz w:val="24"/>
          <w:szCs w:val="24"/>
          <w:lang w:val="sr-Cyrl-RS"/>
        </w:rPr>
        <w:t>у просеку</w:t>
      </w:r>
      <w:r w:rsidRPr="00593C1D">
        <w:rPr>
          <w:rFonts w:ascii="Times New Roman" w:hAnsi="Times New Roman"/>
          <w:sz w:val="24"/>
          <w:szCs w:val="24"/>
        </w:rPr>
        <w:t xml:space="preserve">, </w:t>
      </w:r>
      <w:r>
        <w:rPr>
          <w:rFonts w:ascii="Times New Roman" w:hAnsi="Times New Roman"/>
          <w:sz w:val="24"/>
          <w:szCs w:val="24"/>
          <w:lang w:val="sr-Cyrl-RS"/>
        </w:rPr>
        <w:t>Управа</w:t>
      </w:r>
      <w:r w:rsidRPr="00593C1D">
        <w:rPr>
          <w:rFonts w:ascii="Times New Roman" w:hAnsi="Times New Roman"/>
          <w:sz w:val="24"/>
          <w:szCs w:val="24"/>
        </w:rPr>
        <w:t xml:space="preserve"> </w:t>
      </w:r>
      <w:r w:rsidRPr="00593C1D">
        <w:rPr>
          <w:rFonts w:ascii="Times New Roman" w:hAnsi="Times New Roman"/>
          <w:sz w:val="24"/>
          <w:szCs w:val="24"/>
          <w:lang w:val="sr-Cyrl-RS"/>
        </w:rPr>
        <w:t>даје</w:t>
      </w:r>
      <w:r w:rsidRPr="00593C1D">
        <w:rPr>
          <w:rFonts w:ascii="Times New Roman" w:hAnsi="Times New Roman"/>
          <w:sz w:val="24"/>
          <w:szCs w:val="24"/>
        </w:rPr>
        <w:t xml:space="preserve"> 15 </w:t>
      </w:r>
      <w:r w:rsidRPr="00593C1D">
        <w:rPr>
          <w:rFonts w:ascii="Times New Roman" w:hAnsi="Times New Roman"/>
          <w:sz w:val="24"/>
          <w:szCs w:val="24"/>
          <w:lang w:val="sr-Cyrl-RS"/>
        </w:rPr>
        <w:t>телефонских консултација</w:t>
      </w:r>
      <w:r w:rsidRPr="00593C1D">
        <w:rPr>
          <w:rFonts w:ascii="Times New Roman" w:hAnsi="Times New Roman"/>
          <w:sz w:val="24"/>
          <w:szCs w:val="24"/>
        </w:rPr>
        <w:t xml:space="preserve"> </w:t>
      </w:r>
      <w:r w:rsidRPr="00593C1D">
        <w:rPr>
          <w:rFonts w:ascii="Times New Roman" w:hAnsi="Times New Roman"/>
          <w:sz w:val="24"/>
          <w:szCs w:val="24"/>
          <w:lang w:val="sr-Cyrl-RS"/>
        </w:rPr>
        <w:t>дневно</w:t>
      </w:r>
      <w:r w:rsidRPr="00593C1D">
        <w:rPr>
          <w:rFonts w:ascii="Times New Roman" w:hAnsi="Times New Roman"/>
          <w:sz w:val="24"/>
          <w:szCs w:val="24"/>
        </w:rPr>
        <w:t xml:space="preserve">, </w:t>
      </w:r>
      <w:r w:rsidRPr="00593C1D">
        <w:rPr>
          <w:rFonts w:ascii="Times New Roman" w:hAnsi="Times New Roman"/>
          <w:sz w:val="24"/>
          <w:szCs w:val="24"/>
          <w:lang w:val="sr-Cyrl-RS"/>
        </w:rPr>
        <w:t>а свака  консултација траје</w:t>
      </w:r>
      <w:r w:rsidRPr="00593C1D">
        <w:rPr>
          <w:rFonts w:ascii="Times New Roman" w:hAnsi="Times New Roman"/>
          <w:sz w:val="24"/>
          <w:szCs w:val="24"/>
        </w:rPr>
        <w:t xml:space="preserve">  </w:t>
      </w:r>
      <w:r w:rsidR="00C15892">
        <w:rPr>
          <w:rFonts w:ascii="Times New Roman" w:hAnsi="Times New Roman"/>
          <w:sz w:val="24"/>
          <w:szCs w:val="24"/>
          <w:lang w:val="sr-Cyrl-RS"/>
        </w:rPr>
        <w:t xml:space="preserve">око </w:t>
      </w:r>
      <w:r w:rsidRPr="00593C1D">
        <w:rPr>
          <w:rFonts w:ascii="Times New Roman" w:hAnsi="Times New Roman"/>
          <w:sz w:val="24"/>
          <w:szCs w:val="24"/>
        </w:rPr>
        <w:t xml:space="preserve">5 </w:t>
      </w:r>
      <w:r w:rsidRPr="00593C1D">
        <w:rPr>
          <w:rFonts w:ascii="Times New Roman" w:hAnsi="Times New Roman"/>
          <w:sz w:val="24"/>
          <w:szCs w:val="24"/>
          <w:lang w:val="sr-Cyrl-RS"/>
        </w:rPr>
        <w:t>минута</w:t>
      </w:r>
      <w:r w:rsidRPr="00593C1D">
        <w:rPr>
          <w:rFonts w:ascii="Times New Roman" w:hAnsi="Times New Roman"/>
          <w:sz w:val="24"/>
          <w:szCs w:val="24"/>
        </w:rPr>
        <w:t xml:space="preserve">, </w:t>
      </w:r>
      <w:r w:rsidRPr="00593C1D">
        <w:rPr>
          <w:rFonts w:ascii="Times New Roman" w:hAnsi="Times New Roman"/>
          <w:sz w:val="24"/>
          <w:szCs w:val="24"/>
          <w:lang w:val="sr-Cyrl-RS"/>
        </w:rPr>
        <w:t>што чини</w:t>
      </w:r>
      <w:r w:rsidRPr="00593C1D">
        <w:rPr>
          <w:rFonts w:ascii="Times New Roman" w:hAnsi="Times New Roman"/>
          <w:sz w:val="24"/>
          <w:szCs w:val="24"/>
        </w:rPr>
        <w:t xml:space="preserve"> 75</w:t>
      </w:r>
      <w:r w:rsidRPr="00593C1D">
        <w:rPr>
          <w:rFonts w:ascii="Times New Roman" w:hAnsi="Times New Roman"/>
          <w:sz w:val="24"/>
          <w:szCs w:val="24"/>
          <w:lang w:val="sr-Cyrl-RS"/>
        </w:rPr>
        <w:t xml:space="preserve"> </w:t>
      </w:r>
      <w:r w:rsidRPr="00490AAD">
        <w:rPr>
          <w:rFonts w:ascii="Times New Roman" w:hAnsi="Times New Roman"/>
          <w:sz w:val="24"/>
          <w:szCs w:val="24"/>
          <w:lang w:val="sr-Cyrl-RS"/>
        </w:rPr>
        <w:t>минута или нешто мало изнад</w:t>
      </w:r>
      <w:r w:rsidRPr="00490AAD">
        <w:rPr>
          <w:rFonts w:ascii="Times New Roman" w:hAnsi="Times New Roman"/>
          <w:sz w:val="24"/>
          <w:szCs w:val="24"/>
        </w:rPr>
        <w:t xml:space="preserve"> 1 </w:t>
      </w:r>
      <w:r w:rsidRPr="00490AAD">
        <w:rPr>
          <w:rFonts w:ascii="Times New Roman" w:hAnsi="Times New Roman"/>
          <w:sz w:val="24"/>
          <w:szCs w:val="24"/>
          <w:lang w:val="sr-Cyrl-RS"/>
        </w:rPr>
        <w:t>човек</w:t>
      </w:r>
      <w:r w:rsidRPr="00490AAD">
        <w:rPr>
          <w:rFonts w:ascii="Times New Roman" w:hAnsi="Times New Roman"/>
          <w:sz w:val="24"/>
          <w:szCs w:val="24"/>
        </w:rPr>
        <w:t>/</w:t>
      </w:r>
      <w:r w:rsidRPr="00490AAD">
        <w:rPr>
          <w:rFonts w:ascii="Times New Roman" w:hAnsi="Times New Roman"/>
          <w:sz w:val="24"/>
          <w:szCs w:val="24"/>
          <w:lang w:val="sr-Cyrl-RS"/>
        </w:rPr>
        <w:t>час</w:t>
      </w:r>
      <w:r w:rsidRPr="00490AAD">
        <w:rPr>
          <w:rFonts w:ascii="Times New Roman" w:hAnsi="Times New Roman"/>
          <w:sz w:val="24"/>
          <w:szCs w:val="24"/>
        </w:rPr>
        <w:t xml:space="preserve"> (1,25 </w:t>
      </w:r>
      <w:r w:rsidRPr="00490AAD">
        <w:rPr>
          <w:rFonts w:ascii="Times New Roman" w:hAnsi="Times New Roman"/>
          <w:sz w:val="24"/>
          <w:szCs w:val="24"/>
          <w:lang w:val="sr-Cyrl-RS"/>
        </w:rPr>
        <w:t>ч</w:t>
      </w:r>
      <w:r w:rsidRPr="00490AAD">
        <w:rPr>
          <w:rFonts w:ascii="Times New Roman" w:hAnsi="Times New Roman"/>
          <w:sz w:val="24"/>
          <w:szCs w:val="24"/>
        </w:rPr>
        <w:t>/</w:t>
      </w:r>
      <w:r w:rsidRPr="00490AAD">
        <w:rPr>
          <w:rFonts w:ascii="Times New Roman" w:hAnsi="Times New Roman"/>
          <w:sz w:val="24"/>
          <w:szCs w:val="24"/>
          <w:lang w:val="sr-Cyrl-RS"/>
        </w:rPr>
        <w:t>ч</w:t>
      </w:r>
      <w:r w:rsidRPr="00490AAD">
        <w:rPr>
          <w:rFonts w:ascii="Times New Roman" w:hAnsi="Times New Roman"/>
          <w:sz w:val="24"/>
          <w:szCs w:val="24"/>
        </w:rPr>
        <w:t xml:space="preserve">) </w:t>
      </w:r>
      <w:r w:rsidRPr="00490AAD">
        <w:rPr>
          <w:rFonts w:ascii="Times New Roman" w:hAnsi="Times New Roman"/>
          <w:sz w:val="24"/>
          <w:szCs w:val="24"/>
          <w:lang w:val="sr-Cyrl-RS"/>
        </w:rPr>
        <w:t>дневно</w:t>
      </w:r>
      <w:r w:rsidRPr="00490AAD">
        <w:rPr>
          <w:rFonts w:ascii="Times New Roman" w:hAnsi="Times New Roman"/>
          <w:sz w:val="24"/>
          <w:szCs w:val="24"/>
        </w:rPr>
        <w:t xml:space="preserve">. </w:t>
      </w:r>
      <w:r w:rsidRPr="00490AAD">
        <w:rPr>
          <w:rFonts w:ascii="Times New Roman" w:hAnsi="Times New Roman"/>
          <w:sz w:val="24"/>
          <w:szCs w:val="24"/>
          <w:lang w:val="sr-Cyrl-RS"/>
        </w:rPr>
        <w:t>Поред тога</w:t>
      </w:r>
      <w:r w:rsidRPr="00490AAD">
        <w:rPr>
          <w:rFonts w:ascii="Times New Roman" w:hAnsi="Times New Roman"/>
          <w:sz w:val="24"/>
          <w:szCs w:val="24"/>
        </w:rPr>
        <w:t xml:space="preserve">, </w:t>
      </w:r>
      <w:r>
        <w:rPr>
          <w:rFonts w:ascii="Times New Roman" w:hAnsi="Times New Roman"/>
          <w:sz w:val="24"/>
          <w:szCs w:val="24"/>
          <w:lang w:val="sr-Cyrl-RS"/>
        </w:rPr>
        <w:t>управа</w:t>
      </w:r>
      <w:r w:rsidRPr="00490AAD">
        <w:rPr>
          <w:rFonts w:ascii="Times New Roman" w:hAnsi="Times New Roman"/>
          <w:sz w:val="24"/>
          <w:szCs w:val="24"/>
          <w:lang w:val="sr-Cyrl-RS"/>
        </w:rPr>
        <w:t xml:space="preserve"> у просеку прима</w:t>
      </w:r>
      <w:r w:rsidRPr="00490AAD">
        <w:rPr>
          <w:rFonts w:ascii="Times New Roman" w:hAnsi="Times New Roman"/>
          <w:sz w:val="24"/>
          <w:szCs w:val="24"/>
        </w:rPr>
        <w:t xml:space="preserve"> 12 </w:t>
      </w:r>
      <w:r w:rsidRPr="00490AAD">
        <w:rPr>
          <w:rFonts w:ascii="Times New Roman" w:hAnsi="Times New Roman"/>
          <w:sz w:val="24"/>
          <w:szCs w:val="24"/>
          <w:lang w:val="sr-Cyrl-RS"/>
        </w:rPr>
        <w:t>имејлова</w:t>
      </w:r>
      <w:r w:rsidRPr="00490AAD">
        <w:rPr>
          <w:rFonts w:ascii="Times New Roman" w:hAnsi="Times New Roman"/>
          <w:sz w:val="24"/>
          <w:szCs w:val="24"/>
        </w:rPr>
        <w:t>,</w:t>
      </w:r>
      <w:r w:rsidR="00C15892">
        <w:rPr>
          <w:rFonts w:ascii="Times New Roman" w:hAnsi="Times New Roman"/>
          <w:sz w:val="24"/>
          <w:szCs w:val="24"/>
          <w:lang w:val="sr-Cyrl-RS"/>
        </w:rPr>
        <w:t xml:space="preserve"> </w:t>
      </w:r>
      <w:r w:rsidRPr="00490AAD">
        <w:rPr>
          <w:rFonts w:ascii="Times New Roman" w:hAnsi="Times New Roman"/>
          <w:sz w:val="24"/>
          <w:szCs w:val="24"/>
          <w:lang w:val="sr-Cyrl-RS"/>
        </w:rPr>
        <w:t>а потребно је 10 минута да се одговори на сваки имејл</w:t>
      </w:r>
      <w:r w:rsidRPr="00490AAD">
        <w:rPr>
          <w:rFonts w:ascii="Times New Roman" w:hAnsi="Times New Roman"/>
          <w:sz w:val="24"/>
          <w:szCs w:val="24"/>
        </w:rPr>
        <w:t xml:space="preserve">, </w:t>
      </w:r>
      <w:r w:rsidRPr="00490AAD">
        <w:rPr>
          <w:rFonts w:ascii="Times New Roman" w:hAnsi="Times New Roman"/>
          <w:sz w:val="24"/>
          <w:szCs w:val="24"/>
          <w:lang w:val="sr-Cyrl-RS"/>
        </w:rPr>
        <w:t>што укупно чини</w:t>
      </w:r>
      <w:r w:rsidRPr="00490AAD">
        <w:rPr>
          <w:rFonts w:ascii="Times New Roman" w:hAnsi="Times New Roman"/>
          <w:sz w:val="24"/>
          <w:szCs w:val="24"/>
        </w:rPr>
        <w:t xml:space="preserve"> </w:t>
      </w:r>
      <w:r w:rsidRPr="00593C1D">
        <w:rPr>
          <w:rFonts w:ascii="Times New Roman" w:hAnsi="Times New Roman"/>
          <w:sz w:val="24"/>
          <w:szCs w:val="24"/>
        </w:rPr>
        <w:t xml:space="preserve">120 </w:t>
      </w:r>
      <w:r w:rsidRPr="00593C1D">
        <w:rPr>
          <w:rFonts w:ascii="Times New Roman" w:hAnsi="Times New Roman"/>
          <w:sz w:val="24"/>
          <w:szCs w:val="24"/>
          <w:lang w:val="sr-Cyrl-RS"/>
        </w:rPr>
        <w:t>минута</w:t>
      </w:r>
      <w:r w:rsidRPr="00593C1D">
        <w:rPr>
          <w:rFonts w:ascii="Times New Roman" w:hAnsi="Times New Roman"/>
          <w:sz w:val="24"/>
          <w:szCs w:val="24"/>
        </w:rPr>
        <w:t xml:space="preserve">, </w:t>
      </w:r>
      <w:r w:rsidRPr="00593C1D">
        <w:rPr>
          <w:rFonts w:ascii="Times New Roman" w:hAnsi="Times New Roman"/>
          <w:sz w:val="24"/>
          <w:szCs w:val="24"/>
          <w:lang w:val="sr-Cyrl-RS"/>
        </w:rPr>
        <w:t>или</w:t>
      </w:r>
      <w:r w:rsidRPr="00593C1D">
        <w:rPr>
          <w:rFonts w:ascii="Times New Roman" w:hAnsi="Times New Roman"/>
          <w:sz w:val="24"/>
          <w:szCs w:val="24"/>
        </w:rPr>
        <w:t xml:space="preserve"> 2 </w:t>
      </w:r>
      <w:r w:rsidRPr="00593C1D">
        <w:rPr>
          <w:rFonts w:ascii="Times New Roman" w:hAnsi="Times New Roman"/>
          <w:sz w:val="24"/>
          <w:szCs w:val="24"/>
          <w:lang w:val="sr-Cyrl-RS"/>
        </w:rPr>
        <w:t>човек</w:t>
      </w:r>
      <w:r w:rsidRPr="00593C1D">
        <w:rPr>
          <w:rFonts w:ascii="Times New Roman" w:hAnsi="Times New Roman"/>
          <w:sz w:val="24"/>
          <w:szCs w:val="24"/>
        </w:rPr>
        <w:t>/</w:t>
      </w:r>
      <w:r w:rsidRPr="00593C1D">
        <w:rPr>
          <w:rFonts w:ascii="Times New Roman" w:hAnsi="Times New Roman"/>
          <w:sz w:val="24"/>
          <w:szCs w:val="24"/>
          <w:lang w:val="sr-Cyrl-RS"/>
        </w:rPr>
        <w:t>часа дневно.</w:t>
      </w:r>
    </w:p>
    <w:p w:rsidR="00BF3283" w:rsidRPr="00593C1D" w:rsidRDefault="00BF3283" w:rsidP="00BF3283">
      <w:pPr>
        <w:jc w:val="both"/>
        <w:rPr>
          <w:rFonts w:ascii="Times New Roman" w:hAnsi="Times New Roman"/>
          <w:sz w:val="24"/>
          <w:szCs w:val="24"/>
          <w:lang w:val="sr-Cyrl-RS"/>
        </w:rPr>
      </w:pPr>
      <w:r w:rsidRPr="00593C1D">
        <w:rPr>
          <w:rFonts w:ascii="Times New Roman" w:hAnsi="Times New Roman"/>
          <w:i/>
          <w:sz w:val="24"/>
          <w:szCs w:val="24"/>
          <w:u w:val="single"/>
          <w:lang w:val="sr-Cyrl-RS"/>
        </w:rPr>
        <w:t>Квартално извештавање о закљученим уговорима о јавним набавкама и спроведеним поступцима јавних набавки</w:t>
      </w:r>
      <w:r w:rsidRPr="00593C1D">
        <w:rPr>
          <w:rFonts w:ascii="Times New Roman" w:hAnsi="Times New Roman"/>
          <w:i/>
          <w:sz w:val="24"/>
          <w:szCs w:val="24"/>
          <w:u w:val="single"/>
        </w:rPr>
        <w:t>:</w:t>
      </w:r>
      <w:r w:rsidRPr="00593C1D">
        <w:rPr>
          <w:rFonts w:ascii="Times New Roman" w:hAnsi="Times New Roman"/>
          <w:sz w:val="24"/>
          <w:szCs w:val="24"/>
        </w:rPr>
        <w:t xml:space="preserve"> </w:t>
      </w:r>
      <w:r w:rsidRPr="00593C1D">
        <w:rPr>
          <w:rFonts w:ascii="Times New Roman" w:hAnsi="Times New Roman"/>
          <w:sz w:val="24"/>
          <w:szCs w:val="24"/>
          <w:lang w:val="sr-Cyrl-RS"/>
        </w:rPr>
        <w:t>у просеку</w:t>
      </w:r>
      <w:r w:rsidRPr="00593C1D">
        <w:rPr>
          <w:rFonts w:ascii="Times New Roman" w:hAnsi="Times New Roman"/>
          <w:sz w:val="24"/>
          <w:szCs w:val="24"/>
        </w:rPr>
        <w:t xml:space="preserve">, </w:t>
      </w:r>
      <w:r>
        <w:rPr>
          <w:rFonts w:ascii="Times New Roman" w:hAnsi="Times New Roman"/>
          <w:sz w:val="24"/>
          <w:szCs w:val="24"/>
          <w:lang w:val="sr-Cyrl-CS"/>
        </w:rPr>
        <w:t xml:space="preserve">Управа </w:t>
      </w:r>
      <w:r w:rsidRPr="00593C1D">
        <w:rPr>
          <w:rFonts w:ascii="Times New Roman" w:hAnsi="Times New Roman"/>
          <w:sz w:val="24"/>
          <w:szCs w:val="24"/>
          <w:lang w:val="sr-Cyrl-RS"/>
        </w:rPr>
        <w:t xml:space="preserve">обави </w:t>
      </w:r>
      <w:r w:rsidRPr="00593C1D">
        <w:rPr>
          <w:rFonts w:ascii="Times New Roman" w:hAnsi="Times New Roman"/>
          <w:sz w:val="24"/>
          <w:szCs w:val="24"/>
        </w:rPr>
        <w:t xml:space="preserve">30 </w:t>
      </w:r>
      <w:r w:rsidRPr="00593C1D">
        <w:rPr>
          <w:rFonts w:ascii="Times New Roman" w:hAnsi="Times New Roman"/>
          <w:sz w:val="24"/>
          <w:szCs w:val="24"/>
          <w:lang w:val="sr-Cyrl-RS"/>
        </w:rPr>
        <w:t>телефонских консултација дневно</w:t>
      </w:r>
      <w:r w:rsidRPr="00593C1D">
        <w:rPr>
          <w:rFonts w:ascii="Times New Roman" w:hAnsi="Times New Roman"/>
          <w:sz w:val="24"/>
          <w:szCs w:val="24"/>
        </w:rPr>
        <w:t xml:space="preserve">, </w:t>
      </w:r>
      <w:r w:rsidRPr="00593C1D">
        <w:rPr>
          <w:rFonts w:ascii="Times New Roman" w:hAnsi="Times New Roman"/>
          <w:sz w:val="24"/>
          <w:szCs w:val="24"/>
          <w:lang w:val="sr-Cyrl-RS"/>
        </w:rPr>
        <w:t>у трајању од просечно</w:t>
      </w:r>
      <w:r w:rsidRPr="00593C1D">
        <w:rPr>
          <w:rFonts w:ascii="Times New Roman" w:hAnsi="Times New Roman"/>
          <w:sz w:val="24"/>
          <w:szCs w:val="24"/>
        </w:rPr>
        <w:t xml:space="preserve"> 10 </w:t>
      </w:r>
      <w:r w:rsidRPr="00593C1D">
        <w:rPr>
          <w:rFonts w:ascii="Times New Roman" w:hAnsi="Times New Roman"/>
          <w:sz w:val="24"/>
          <w:szCs w:val="24"/>
          <w:lang w:val="sr-Cyrl-RS"/>
        </w:rPr>
        <w:t>минута по једној консултацији</w:t>
      </w:r>
      <w:r w:rsidRPr="00593C1D">
        <w:rPr>
          <w:rFonts w:ascii="Times New Roman" w:hAnsi="Times New Roman"/>
          <w:sz w:val="24"/>
          <w:szCs w:val="24"/>
        </w:rPr>
        <w:t xml:space="preserve">, </w:t>
      </w:r>
      <w:r w:rsidRPr="00593C1D">
        <w:rPr>
          <w:rFonts w:ascii="Times New Roman" w:hAnsi="Times New Roman"/>
          <w:sz w:val="24"/>
          <w:szCs w:val="24"/>
          <w:lang w:val="sr-Cyrl-RS"/>
        </w:rPr>
        <w:t>што чини</w:t>
      </w:r>
      <w:r w:rsidRPr="00593C1D">
        <w:rPr>
          <w:rFonts w:ascii="Times New Roman" w:hAnsi="Times New Roman"/>
          <w:sz w:val="24"/>
          <w:szCs w:val="24"/>
        </w:rPr>
        <w:t xml:space="preserve"> 300 </w:t>
      </w:r>
      <w:r w:rsidRPr="00593C1D">
        <w:rPr>
          <w:rFonts w:ascii="Times New Roman" w:hAnsi="Times New Roman"/>
          <w:sz w:val="24"/>
          <w:szCs w:val="24"/>
          <w:lang w:val="sr-Cyrl-RS"/>
        </w:rPr>
        <w:t>минута</w:t>
      </w:r>
      <w:r w:rsidRPr="00593C1D">
        <w:rPr>
          <w:rFonts w:ascii="Times New Roman" w:hAnsi="Times New Roman"/>
          <w:sz w:val="24"/>
          <w:szCs w:val="24"/>
        </w:rPr>
        <w:t xml:space="preserve">, </w:t>
      </w:r>
      <w:r w:rsidRPr="00593C1D">
        <w:rPr>
          <w:rFonts w:ascii="Times New Roman" w:hAnsi="Times New Roman"/>
          <w:sz w:val="24"/>
          <w:szCs w:val="24"/>
          <w:lang w:val="sr-Cyrl-RS"/>
        </w:rPr>
        <w:t>или</w:t>
      </w:r>
      <w:r w:rsidRPr="00593C1D">
        <w:rPr>
          <w:rFonts w:ascii="Times New Roman" w:hAnsi="Times New Roman"/>
          <w:sz w:val="24"/>
          <w:szCs w:val="24"/>
        </w:rPr>
        <w:t xml:space="preserve"> 5</w:t>
      </w:r>
      <w:r w:rsidRPr="00593C1D">
        <w:rPr>
          <w:rFonts w:ascii="Times New Roman" w:hAnsi="Times New Roman"/>
          <w:sz w:val="24"/>
          <w:szCs w:val="24"/>
          <w:lang w:val="sr-Cyrl-RS"/>
        </w:rPr>
        <w:t xml:space="preserve"> човек/часова дневно.</w:t>
      </w:r>
    </w:p>
    <w:p w:rsidR="00BF3283" w:rsidRPr="00593C1D" w:rsidRDefault="00BF3283" w:rsidP="00BF3283">
      <w:pPr>
        <w:rPr>
          <w:rFonts w:ascii="Times New Roman" w:hAnsi="Times New Roman"/>
          <w:b/>
          <w:sz w:val="24"/>
          <w:szCs w:val="24"/>
          <w:lang w:val="sr-Cyrl-RS"/>
        </w:rPr>
      </w:pPr>
      <w:r w:rsidRPr="00593C1D">
        <w:rPr>
          <w:rFonts w:ascii="Times New Roman" w:hAnsi="Times New Roman"/>
          <w:b/>
          <w:sz w:val="24"/>
          <w:szCs w:val="24"/>
          <w:lang w:val="sr-Cyrl-RS"/>
        </w:rPr>
        <w:t>Састанци</w:t>
      </w:r>
    </w:p>
    <w:p w:rsidR="00BF3283" w:rsidRPr="00593C1D" w:rsidRDefault="00BF3283" w:rsidP="00BF3283">
      <w:pPr>
        <w:jc w:val="both"/>
        <w:rPr>
          <w:rFonts w:ascii="Times New Roman" w:hAnsi="Times New Roman"/>
          <w:sz w:val="24"/>
          <w:szCs w:val="24"/>
          <w:lang w:val="sr-Cyrl-RS"/>
        </w:rPr>
      </w:pPr>
      <w:r w:rsidRPr="00593C1D">
        <w:rPr>
          <w:rFonts w:ascii="Times New Roman" w:hAnsi="Times New Roman"/>
          <w:sz w:val="24"/>
          <w:szCs w:val="24"/>
          <w:lang w:val="sr-Cyrl-RS"/>
        </w:rPr>
        <w:t>Од почетка примене</w:t>
      </w:r>
      <w:r w:rsidRPr="00593C1D">
        <w:rPr>
          <w:rFonts w:ascii="Times New Roman" w:hAnsi="Times New Roman"/>
          <w:sz w:val="24"/>
          <w:szCs w:val="24"/>
        </w:rPr>
        <w:t xml:space="preserve"> </w:t>
      </w:r>
      <w:r>
        <w:rPr>
          <w:rFonts w:ascii="Times New Roman" w:hAnsi="Times New Roman"/>
          <w:sz w:val="24"/>
          <w:szCs w:val="24"/>
          <w:lang w:val="sr-Cyrl-RS"/>
        </w:rPr>
        <w:t>закона</w:t>
      </w:r>
      <w:r w:rsidRPr="00593C1D">
        <w:rPr>
          <w:rFonts w:ascii="Times New Roman" w:hAnsi="Times New Roman"/>
          <w:sz w:val="24"/>
          <w:szCs w:val="24"/>
        </w:rPr>
        <w:t xml:space="preserve">, </w:t>
      </w:r>
      <w:r>
        <w:rPr>
          <w:rFonts w:ascii="Times New Roman" w:hAnsi="Times New Roman"/>
          <w:sz w:val="24"/>
          <w:szCs w:val="24"/>
          <w:lang w:val="sr-Cyrl-RS"/>
        </w:rPr>
        <w:t>Управа</w:t>
      </w:r>
      <w:r w:rsidRPr="00593C1D">
        <w:rPr>
          <w:rFonts w:ascii="Times New Roman" w:hAnsi="Times New Roman"/>
          <w:sz w:val="24"/>
          <w:szCs w:val="24"/>
        </w:rPr>
        <w:t xml:space="preserve"> </w:t>
      </w:r>
      <w:r w:rsidRPr="00593C1D">
        <w:rPr>
          <w:rFonts w:ascii="Times New Roman" w:hAnsi="Times New Roman"/>
          <w:sz w:val="24"/>
          <w:szCs w:val="24"/>
          <w:lang w:val="sr-Cyrl-RS"/>
        </w:rPr>
        <w:t xml:space="preserve">је </w:t>
      </w:r>
      <w:r>
        <w:rPr>
          <w:rFonts w:ascii="Times New Roman" w:hAnsi="Times New Roman"/>
          <w:sz w:val="24"/>
          <w:szCs w:val="24"/>
          <w:lang w:val="sr-Cyrl-RS"/>
        </w:rPr>
        <w:t>пружила</w:t>
      </w:r>
      <w:r w:rsidRPr="00593C1D">
        <w:rPr>
          <w:rFonts w:ascii="Times New Roman" w:hAnsi="Times New Roman"/>
          <w:sz w:val="24"/>
          <w:szCs w:val="24"/>
          <w:lang w:val="sr-Cyrl-RS"/>
        </w:rPr>
        <w:t xml:space="preserve"> стручну помоћ</w:t>
      </w:r>
      <w:r w:rsidRPr="00593C1D">
        <w:rPr>
          <w:rFonts w:ascii="Times New Roman" w:hAnsi="Times New Roman"/>
          <w:sz w:val="24"/>
          <w:szCs w:val="24"/>
        </w:rPr>
        <w:t xml:space="preserve"> </w:t>
      </w:r>
      <w:r w:rsidRPr="00593C1D">
        <w:rPr>
          <w:rFonts w:ascii="Times New Roman" w:hAnsi="Times New Roman"/>
          <w:sz w:val="24"/>
          <w:szCs w:val="24"/>
          <w:lang w:val="sr-Cyrl-RS"/>
        </w:rPr>
        <w:t>у виду састанака и то у просеку</w:t>
      </w:r>
      <w:r w:rsidRPr="00593C1D">
        <w:rPr>
          <w:rFonts w:ascii="Times New Roman" w:hAnsi="Times New Roman"/>
          <w:sz w:val="24"/>
          <w:szCs w:val="24"/>
        </w:rPr>
        <w:t xml:space="preserve"> 2-3 </w:t>
      </w:r>
      <w:r w:rsidRPr="00593C1D">
        <w:rPr>
          <w:rFonts w:ascii="Times New Roman" w:hAnsi="Times New Roman"/>
          <w:sz w:val="24"/>
          <w:szCs w:val="24"/>
          <w:lang w:val="sr-Cyrl-RS"/>
        </w:rPr>
        <w:t>састанка дневно</w:t>
      </w:r>
      <w:r w:rsidRPr="00593C1D">
        <w:rPr>
          <w:rFonts w:ascii="Times New Roman" w:hAnsi="Times New Roman"/>
          <w:sz w:val="24"/>
          <w:szCs w:val="24"/>
        </w:rPr>
        <w:t>.</w:t>
      </w:r>
      <w:r w:rsidRPr="00593C1D">
        <w:rPr>
          <w:rFonts w:ascii="Times New Roman" w:hAnsi="Times New Roman"/>
          <w:sz w:val="24"/>
          <w:szCs w:val="24"/>
          <w:lang w:val="sr-Cyrl-RS"/>
        </w:rPr>
        <w:t xml:space="preserve"> Састанци обично трају</w:t>
      </w:r>
      <w:r w:rsidRPr="00593C1D">
        <w:rPr>
          <w:rFonts w:ascii="Times New Roman" w:hAnsi="Times New Roman"/>
          <w:sz w:val="24"/>
          <w:szCs w:val="24"/>
        </w:rPr>
        <w:t xml:space="preserve">  45-60</w:t>
      </w:r>
      <w:r w:rsidRPr="00593C1D">
        <w:rPr>
          <w:rFonts w:ascii="Times New Roman" w:hAnsi="Times New Roman"/>
          <w:sz w:val="24"/>
          <w:szCs w:val="24"/>
          <w:lang w:val="sr-Cyrl-RS"/>
        </w:rPr>
        <w:t xml:space="preserve"> минута</w:t>
      </w:r>
      <w:r w:rsidRPr="00593C1D">
        <w:rPr>
          <w:rFonts w:ascii="Times New Roman" w:hAnsi="Times New Roman"/>
          <w:sz w:val="24"/>
          <w:szCs w:val="24"/>
        </w:rPr>
        <w:t xml:space="preserve">, </w:t>
      </w:r>
      <w:r w:rsidRPr="00593C1D">
        <w:rPr>
          <w:rFonts w:ascii="Times New Roman" w:hAnsi="Times New Roman"/>
          <w:sz w:val="24"/>
          <w:szCs w:val="24"/>
          <w:lang w:val="sr-Cyrl-RS"/>
        </w:rPr>
        <w:t xml:space="preserve">што чини </w:t>
      </w:r>
      <w:r w:rsidRPr="00593C1D">
        <w:rPr>
          <w:rFonts w:ascii="Times New Roman" w:hAnsi="Times New Roman"/>
          <w:sz w:val="24"/>
          <w:szCs w:val="24"/>
        </w:rPr>
        <w:t xml:space="preserve"> 90 </w:t>
      </w:r>
      <w:r w:rsidRPr="00593C1D">
        <w:rPr>
          <w:rFonts w:ascii="Times New Roman" w:hAnsi="Times New Roman"/>
          <w:sz w:val="24"/>
          <w:szCs w:val="24"/>
          <w:lang w:val="sr-Cyrl-RS"/>
        </w:rPr>
        <w:t>до</w:t>
      </w:r>
      <w:r w:rsidRPr="00593C1D">
        <w:rPr>
          <w:rFonts w:ascii="Times New Roman" w:hAnsi="Times New Roman"/>
          <w:sz w:val="24"/>
          <w:szCs w:val="24"/>
        </w:rPr>
        <w:t xml:space="preserve"> 180 </w:t>
      </w:r>
      <w:r w:rsidRPr="00593C1D">
        <w:rPr>
          <w:rFonts w:ascii="Times New Roman" w:hAnsi="Times New Roman"/>
          <w:sz w:val="24"/>
          <w:szCs w:val="24"/>
          <w:lang w:val="sr-Cyrl-RS"/>
        </w:rPr>
        <w:t>минута дневно или у просеку</w:t>
      </w:r>
      <w:r w:rsidRPr="00593C1D">
        <w:rPr>
          <w:rFonts w:ascii="Times New Roman" w:hAnsi="Times New Roman"/>
          <w:sz w:val="24"/>
          <w:szCs w:val="24"/>
        </w:rPr>
        <w:t xml:space="preserve"> 2 </w:t>
      </w:r>
      <w:r w:rsidRPr="00593C1D">
        <w:rPr>
          <w:rFonts w:ascii="Times New Roman" w:hAnsi="Times New Roman"/>
          <w:sz w:val="24"/>
          <w:szCs w:val="24"/>
          <w:lang w:val="sr-Cyrl-RS"/>
        </w:rPr>
        <w:t>човек</w:t>
      </w:r>
      <w:r w:rsidRPr="00593C1D">
        <w:rPr>
          <w:rFonts w:ascii="Times New Roman" w:hAnsi="Times New Roman"/>
          <w:sz w:val="24"/>
          <w:szCs w:val="24"/>
        </w:rPr>
        <w:t>/</w:t>
      </w:r>
      <w:r w:rsidRPr="00593C1D">
        <w:rPr>
          <w:rFonts w:ascii="Times New Roman" w:hAnsi="Times New Roman"/>
          <w:sz w:val="24"/>
          <w:szCs w:val="24"/>
          <w:lang w:val="sr-Cyrl-RS"/>
        </w:rPr>
        <w:t>часа</w:t>
      </w:r>
      <w:r w:rsidRPr="00593C1D">
        <w:rPr>
          <w:rFonts w:ascii="Times New Roman" w:hAnsi="Times New Roman"/>
          <w:sz w:val="24"/>
          <w:szCs w:val="24"/>
        </w:rPr>
        <w:t xml:space="preserve"> </w:t>
      </w:r>
      <w:r w:rsidRPr="00593C1D">
        <w:rPr>
          <w:rFonts w:ascii="Times New Roman" w:hAnsi="Times New Roman"/>
          <w:sz w:val="24"/>
          <w:szCs w:val="24"/>
          <w:lang w:val="sr-Cyrl-RS"/>
        </w:rPr>
        <w:t>дневно</w:t>
      </w:r>
      <w:r w:rsidRPr="00593C1D">
        <w:rPr>
          <w:rFonts w:ascii="Times New Roman" w:hAnsi="Times New Roman"/>
          <w:sz w:val="24"/>
          <w:szCs w:val="24"/>
        </w:rPr>
        <w:t xml:space="preserve">. </w:t>
      </w:r>
      <w:r w:rsidRPr="00593C1D">
        <w:rPr>
          <w:rFonts w:ascii="Times New Roman" w:hAnsi="Times New Roman"/>
          <w:sz w:val="24"/>
          <w:szCs w:val="24"/>
          <w:lang w:val="sr-Cyrl-RS"/>
        </w:rPr>
        <w:t xml:space="preserve"> </w:t>
      </w:r>
      <w:r w:rsidR="00C15892">
        <w:rPr>
          <w:rFonts w:ascii="Times New Roman" w:hAnsi="Times New Roman"/>
          <w:sz w:val="24"/>
          <w:szCs w:val="24"/>
          <w:lang w:val="sr-Cyrl-RS"/>
        </w:rPr>
        <w:t>При томе</w:t>
      </w:r>
      <w:r w:rsidRPr="00593C1D">
        <w:rPr>
          <w:rFonts w:ascii="Times New Roman" w:hAnsi="Times New Roman"/>
          <w:sz w:val="24"/>
          <w:szCs w:val="24"/>
          <w:lang w:val="sr-Cyrl-RS"/>
        </w:rPr>
        <w:t xml:space="preserve">, састанци захтевају </w:t>
      </w:r>
      <w:r>
        <w:rPr>
          <w:rFonts w:ascii="Times New Roman" w:hAnsi="Times New Roman"/>
          <w:sz w:val="24"/>
          <w:szCs w:val="24"/>
          <w:lang w:val="sr-Cyrl-RS"/>
        </w:rPr>
        <w:t xml:space="preserve">истовремено </w:t>
      </w:r>
      <w:r w:rsidRPr="00593C1D">
        <w:rPr>
          <w:rFonts w:ascii="Times New Roman" w:hAnsi="Times New Roman"/>
          <w:sz w:val="24"/>
          <w:szCs w:val="24"/>
          <w:lang w:val="sr-Cyrl-RS"/>
        </w:rPr>
        <w:t xml:space="preserve">присуство најмање 2 стручњака из </w:t>
      </w:r>
      <w:r>
        <w:rPr>
          <w:rFonts w:ascii="Times New Roman" w:hAnsi="Times New Roman"/>
          <w:sz w:val="24"/>
          <w:szCs w:val="24"/>
          <w:lang w:val="sr-Cyrl-RS"/>
        </w:rPr>
        <w:t>Управе,</w:t>
      </w:r>
      <w:r w:rsidRPr="00593C1D">
        <w:rPr>
          <w:rFonts w:ascii="Times New Roman" w:hAnsi="Times New Roman"/>
          <w:sz w:val="24"/>
          <w:szCs w:val="24"/>
          <w:lang w:val="sr-Cyrl-RS"/>
        </w:rPr>
        <w:t xml:space="preserve"> што значи да треба најмање </w:t>
      </w:r>
      <w:r w:rsidRPr="00593C1D">
        <w:rPr>
          <w:rFonts w:ascii="Times New Roman" w:hAnsi="Times New Roman"/>
          <w:sz w:val="24"/>
          <w:szCs w:val="24"/>
        </w:rPr>
        <w:t xml:space="preserve">4 </w:t>
      </w:r>
      <w:r w:rsidRPr="00593C1D">
        <w:rPr>
          <w:rFonts w:ascii="Times New Roman" w:hAnsi="Times New Roman"/>
          <w:sz w:val="24"/>
          <w:szCs w:val="24"/>
          <w:lang w:val="sr-Cyrl-RS"/>
        </w:rPr>
        <w:t>ч</w:t>
      </w:r>
      <w:r w:rsidRPr="00593C1D">
        <w:rPr>
          <w:rFonts w:ascii="Times New Roman" w:hAnsi="Times New Roman"/>
          <w:sz w:val="24"/>
          <w:szCs w:val="24"/>
        </w:rPr>
        <w:t>/</w:t>
      </w:r>
      <w:r w:rsidRPr="00593C1D">
        <w:rPr>
          <w:rFonts w:ascii="Times New Roman" w:hAnsi="Times New Roman"/>
          <w:sz w:val="24"/>
          <w:szCs w:val="24"/>
          <w:lang w:val="sr-Cyrl-RS"/>
        </w:rPr>
        <w:t>ч</w:t>
      </w:r>
      <w:r w:rsidRPr="00593C1D">
        <w:rPr>
          <w:rFonts w:ascii="Times New Roman" w:hAnsi="Times New Roman"/>
          <w:sz w:val="24"/>
          <w:szCs w:val="24"/>
        </w:rPr>
        <w:t xml:space="preserve"> </w:t>
      </w:r>
      <w:r w:rsidRPr="00593C1D">
        <w:rPr>
          <w:rFonts w:ascii="Times New Roman" w:hAnsi="Times New Roman"/>
          <w:sz w:val="24"/>
          <w:szCs w:val="24"/>
          <w:lang w:val="sr-Cyrl-RS"/>
        </w:rPr>
        <w:t>дневно.</w:t>
      </w:r>
    </w:p>
    <w:p w:rsidR="00BF3283" w:rsidRPr="00490AAD" w:rsidRDefault="00BF3283" w:rsidP="00BF3283">
      <w:pPr>
        <w:rPr>
          <w:rFonts w:ascii="Times New Roman" w:hAnsi="Times New Roman"/>
          <w:b/>
          <w:sz w:val="24"/>
          <w:szCs w:val="24"/>
          <w:lang w:val="sr-Cyrl-RS"/>
        </w:rPr>
      </w:pPr>
      <w:r w:rsidRPr="00593C1D">
        <w:rPr>
          <w:rFonts w:ascii="Times New Roman" w:hAnsi="Times New Roman"/>
          <w:b/>
          <w:sz w:val="24"/>
          <w:szCs w:val="24"/>
          <w:lang w:val="sr-Cyrl-RS"/>
        </w:rPr>
        <w:t xml:space="preserve">Тумачење одредби </w:t>
      </w:r>
      <w:r w:rsidR="004033AD">
        <w:rPr>
          <w:rFonts w:ascii="Times New Roman" w:hAnsi="Times New Roman"/>
          <w:b/>
          <w:sz w:val="24"/>
          <w:szCs w:val="24"/>
          <w:lang w:val="sr-Cyrl-RS"/>
        </w:rPr>
        <w:t>Закона</w:t>
      </w:r>
    </w:p>
    <w:p w:rsidR="00BF3283" w:rsidRPr="00593C1D" w:rsidRDefault="00BF3283" w:rsidP="00BF3283">
      <w:pPr>
        <w:jc w:val="both"/>
        <w:rPr>
          <w:rFonts w:ascii="Times New Roman" w:hAnsi="Times New Roman"/>
          <w:sz w:val="24"/>
          <w:szCs w:val="24"/>
          <w:lang w:val="sr-Cyrl-RS"/>
        </w:rPr>
      </w:pPr>
      <w:r w:rsidRPr="00490AAD">
        <w:rPr>
          <w:rFonts w:ascii="Times New Roman" w:hAnsi="Times New Roman"/>
          <w:sz w:val="24"/>
          <w:szCs w:val="24"/>
          <w:lang w:val="sr-Cyrl-RS"/>
        </w:rPr>
        <w:t>У складу са чланом</w:t>
      </w:r>
      <w:r w:rsidRPr="00490AAD">
        <w:rPr>
          <w:rFonts w:ascii="Times New Roman" w:hAnsi="Times New Roman"/>
          <w:sz w:val="24"/>
          <w:szCs w:val="24"/>
        </w:rPr>
        <w:t xml:space="preserve"> 136</w:t>
      </w:r>
      <w:r w:rsidRPr="00490AAD">
        <w:rPr>
          <w:rFonts w:ascii="Times New Roman" w:hAnsi="Times New Roman"/>
          <w:sz w:val="24"/>
          <w:szCs w:val="24"/>
          <w:lang w:val="sr-Cyrl-RS"/>
        </w:rPr>
        <w:t>.</w:t>
      </w:r>
      <w:r w:rsidRPr="00490AAD">
        <w:rPr>
          <w:rFonts w:ascii="Times New Roman" w:hAnsi="Times New Roman"/>
          <w:sz w:val="24"/>
          <w:szCs w:val="24"/>
        </w:rPr>
        <w:t xml:space="preserve"> </w:t>
      </w:r>
      <w:r w:rsidRPr="00490AAD">
        <w:rPr>
          <w:rFonts w:ascii="Times New Roman" w:hAnsi="Times New Roman"/>
          <w:sz w:val="24"/>
          <w:szCs w:val="24"/>
          <w:lang w:val="sr-Cyrl-RS"/>
        </w:rPr>
        <w:t>став</w:t>
      </w:r>
      <w:r w:rsidRPr="00490AAD">
        <w:rPr>
          <w:rFonts w:ascii="Times New Roman" w:hAnsi="Times New Roman"/>
          <w:sz w:val="24"/>
          <w:szCs w:val="24"/>
        </w:rPr>
        <w:t xml:space="preserve"> 1</w:t>
      </w:r>
      <w:r w:rsidRPr="00490AAD">
        <w:rPr>
          <w:rFonts w:ascii="Times New Roman" w:hAnsi="Times New Roman"/>
          <w:sz w:val="24"/>
          <w:szCs w:val="24"/>
          <w:lang w:val="sr-Cyrl-RS"/>
        </w:rPr>
        <w:t>.</w:t>
      </w:r>
      <w:r w:rsidRPr="00490AAD">
        <w:rPr>
          <w:rFonts w:ascii="Times New Roman" w:hAnsi="Times New Roman"/>
          <w:sz w:val="24"/>
          <w:szCs w:val="24"/>
        </w:rPr>
        <w:t xml:space="preserve"> </w:t>
      </w:r>
      <w:r w:rsidRPr="00490AAD">
        <w:rPr>
          <w:rFonts w:ascii="Times New Roman" w:hAnsi="Times New Roman"/>
          <w:sz w:val="24"/>
          <w:szCs w:val="24"/>
          <w:lang w:val="sr-Cyrl-RS"/>
        </w:rPr>
        <w:t>тачка</w:t>
      </w:r>
      <w:r w:rsidRPr="00490AAD">
        <w:rPr>
          <w:rFonts w:ascii="Times New Roman" w:hAnsi="Times New Roman"/>
          <w:sz w:val="24"/>
          <w:szCs w:val="24"/>
        </w:rPr>
        <w:t xml:space="preserve"> 4</w:t>
      </w:r>
      <w:r w:rsidRPr="00490AAD">
        <w:rPr>
          <w:rFonts w:ascii="Times New Roman" w:hAnsi="Times New Roman"/>
          <w:sz w:val="24"/>
          <w:szCs w:val="24"/>
          <w:lang w:val="sr-Cyrl-RS"/>
        </w:rPr>
        <w:t>.</w:t>
      </w:r>
      <w:r w:rsidRPr="00490AAD">
        <w:rPr>
          <w:rFonts w:ascii="Times New Roman" w:hAnsi="Times New Roman"/>
          <w:sz w:val="24"/>
          <w:szCs w:val="24"/>
        </w:rPr>
        <w:t xml:space="preserve"> </w:t>
      </w:r>
      <w:r>
        <w:rPr>
          <w:rFonts w:ascii="Times New Roman" w:hAnsi="Times New Roman"/>
          <w:sz w:val="24"/>
          <w:szCs w:val="24"/>
          <w:lang w:val="sr-Cyrl-RS"/>
        </w:rPr>
        <w:t>Закона</w:t>
      </w:r>
      <w:r w:rsidRPr="00490AAD">
        <w:rPr>
          <w:rFonts w:ascii="Times New Roman" w:hAnsi="Times New Roman"/>
          <w:sz w:val="24"/>
          <w:szCs w:val="24"/>
        </w:rPr>
        <w:t xml:space="preserve">, </w:t>
      </w:r>
      <w:r>
        <w:rPr>
          <w:rFonts w:ascii="Times New Roman" w:hAnsi="Times New Roman"/>
          <w:sz w:val="24"/>
          <w:szCs w:val="24"/>
          <w:lang w:val="sr-Cyrl-RS"/>
        </w:rPr>
        <w:t xml:space="preserve">Управа </w:t>
      </w:r>
      <w:r w:rsidRPr="00490AAD">
        <w:rPr>
          <w:rFonts w:ascii="Times New Roman" w:hAnsi="Times New Roman"/>
          <w:sz w:val="24"/>
          <w:szCs w:val="24"/>
        </w:rPr>
        <w:t xml:space="preserve"> </w:t>
      </w:r>
      <w:r w:rsidRPr="00490AAD">
        <w:rPr>
          <w:rFonts w:ascii="Times New Roman" w:hAnsi="Times New Roman"/>
          <w:sz w:val="24"/>
          <w:szCs w:val="24"/>
          <w:lang w:val="sr-Cyrl-RS"/>
        </w:rPr>
        <w:t>даје</w:t>
      </w:r>
      <w:r w:rsidRPr="00490AAD">
        <w:rPr>
          <w:rFonts w:ascii="Times New Roman" w:hAnsi="Times New Roman"/>
          <w:sz w:val="24"/>
          <w:szCs w:val="24"/>
        </w:rPr>
        <w:t xml:space="preserve"> </w:t>
      </w:r>
      <w:r w:rsidRPr="00490AAD">
        <w:rPr>
          <w:rFonts w:ascii="Times New Roman" w:hAnsi="Times New Roman"/>
          <w:sz w:val="24"/>
          <w:szCs w:val="24"/>
          <w:lang w:val="sr-Cyrl-RS"/>
        </w:rPr>
        <w:t>тумачења одредби</w:t>
      </w:r>
      <w:r w:rsidRPr="00490AAD">
        <w:rPr>
          <w:rFonts w:ascii="Times New Roman" w:hAnsi="Times New Roman"/>
          <w:sz w:val="24"/>
          <w:szCs w:val="24"/>
        </w:rPr>
        <w:t xml:space="preserve"> </w:t>
      </w:r>
      <w:r>
        <w:rPr>
          <w:rFonts w:ascii="Times New Roman" w:hAnsi="Times New Roman"/>
          <w:sz w:val="24"/>
          <w:szCs w:val="24"/>
          <w:lang w:val="sr-Cyrl-RS"/>
        </w:rPr>
        <w:t>Закона</w:t>
      </w:r>
      <w:r w:rsidRPr="00490AAD">
        <w:rPr>
          <w:rFonts w:ascii="Times New Roman" w:hAnsi="Times New Roman"/>
          <w:sz w:val="24"/>
          <w:szCs w:val="24"/>
        </w:rPr>
        <w:t>.</w:t>
      </w:r>
      <w:r w:rsidRPr="00490AAD">
        <w:rPr>
          <w:rFonts w:ascii="Times New Roman" w:hAnsi="Times New Roman"/>
          <w:sz w:val="24"/>
          <w:szCs w:val="24"/>
          <w:lang w:val="sr-Cyrl-RS"/>
        </w:rPr>
        <w:t xml:space="preserve"> Рок који </w:t>
      </w:r>
      <w:r>
        <w:rPr>
          <w:rFonts w:ascii="Times New Roman" w:hAnsi="Times New Roman"/>
          <w:sz w:val="24"/>
          <w:szCs w:val="24"/>
          <w:lang w:val="sr-Cyrl-RS"/>
        </w:rPr>
        <w:t>је предвиђен износи</w:t>
      </w:r>
      <w:r w:rsidRPr="00490AAD">
        <w:rPr>
          <w:rFonts w:ascii="Times New Roman" w:hAnsi="Times New Roman"/>
          <w:sz w:val="24"/>
          <w:szCs w:val="24"/>
        </w:rPr>
        <w:t xml:space="preserve"> 30 </w:t>
      </w:r>
      <w:r w:rsidRPr="00490AAD">
        <w:rPr>
          <w:rFonts w:ascii="Times New Roman" w:hAnsi="Times New Roman"/>
          <w:sz w:val="24"/>
          <w:szCs w:val="24"/>
          <w:lang w:val="sr-Cyrl-RS"/>
        </w:rPr>
        <w:t>дана</w:t>
      </w:r>
      <w:r w:rsidRPr="00490AAD">
        <w:rPr>
          <w:rFonts w:ascii="Times New Roman" w:hAnsi="Times New Roman"/>
          <w:sz w:val="24"/>
          <w:szCs w:val="24"/>
        </w:rPr>
        <w:t xml:space="preserve"> </w:t>
      </w:r>
      <w:r w:rsidRPr="00490AAD">
        <w:rPr>
          <w:rFonts w:ascii="Times New Roman" w:hAnsi="Times New Roman"/>
          <w:sz w:val="24"/>
          <w:szCs w:val="24"/>
          <w:lang w:val="sr-Cyrl-RS"/>
        </w:rPr>
        <w:t>по приспећу писменог захтева</w:t>
      </w:r>
      <w:r w:rsidRPr="00490AAD">
        <w:rPr>
          <w:rFonts w:ascii="Times New Roman" w:hAnsi="Times New Roman"/>
          <w:sz w:val="24"/>
          <w:szCs w:val="24"/>
        </w:rPr>
        <w:t xml:space="preserve">. </w:t>
      </w:r>
      <w:r w:rsidRPr="00490AAD">
        <w:rPr>
          <w:rFonts w:ascii="Times New Roman" w:hAnsi="Times New Roman"/>
          <w:sz w:val="24"/>
          <w:szCs w:val="24"/>
          <w:lang w:val="sr-Cyrl-RS"/>
        </w:rPr>
        <w:t>У периоду 1. јануар</w:t>
      </w:r>
      <w:r w:rsidRPr="00490AAD">
        <w:rPr>
          <w:rFonts w:ascii="Times New Roman" w:hAnsi="Times New Roman"/>
          <w:sz w:val="24"/>
          <w:szCs w:val="24"/>
        </w:rPr>
        <w:t xml:space="preserve"> </w:t>
      </w:r>
      <w:r>
        <w:rPr>
          <w:rFonts w:ascii="Times New Roman" w:hAnsi="Times New Roman"/>
          <w:sz w:val="24"/>
          <w:szCs w:val="24"/>
          <w:lang w:val="ru-RU"/>
        </w:rPr>
        <w:t xml:space="preserve">2014 </w:t>
      </w:r>
      <w:r w:rsidRPr="00490AAD">
        <w:rPr>
          <w:rFonts w:ascii="Times New Roman" w:hAnsi="Times New Roman"/>
          <w:sz w:val="24"/>
          <w:szCs w:val="24"/>
          <w:lang w:val="ru-RU"/>
        </w:rPr>
        <w:t>–</w:t>
      </w:r>
      <w:r w:rsidRPr="00490AAD">
        <w:rPr>
          <w:rFonts w:ascii="Times New Roman" w:hAnsi="Times New Roman"/>
          <w:sz w:val="24"/>
          <w:szCs w:val="24"/>
        </w:rPr>
        <w:t xml:space="preserve"> </w:t>
      </w:r>
      <w:r w:rsidRPr="00490AAD">
        <w:rPr>
          <w:rFonts w:ascii="Times New Roman" w:hAnsi="Times New Roman"/>
          <w:sz w:val="24"/>
          <w:szCs w:val="24"/>
          <w:lang w:val="ru-RU"/>
        </w:rPr>
        <w:t>15</w:t>
      </w:r>
      <w:r w:rsidRPr="00490AAD">
        <w:rPr>
          <w:rFonts w:ascii="Times New Roman" w:hAnsi="Times New Roman"/>
          <w:sz w:val="24"/>
          <w:szCs w:val="24"/>
          <w:lang w:val="sr-Cyrl-RS"/>
        </w:rPr>
        <w:t>. август</w:t>
      </w:r>
      <w:r w:rsidRPr="00490AAD">
        <w:rPr>
          <w:rFonts w:ascii="Times New Roman" w:hAnsi="Times New Roman"/>
          <w:sz w:val="24"/>
          <w:szCs w:val="24"/>
        </w:rPr>
        <w:t xml:space="preserve"> </w:t>
      </w:r>
      <w:r w:rsidRPr="00490AAD">
        <w:rPr>
          <w:rFonts w:ascii="Times New Roman" w:hAnsi="Times New Roman"/>
          <w:sz w:val="24"/>
          <w:szCs w:val="24"/>
          <w:lang w:val="ru-RU"/>
        </w:rPr>
        <w:t>2014</w:t>
      </w:r>
      <w:r w:rsidRPr="00490AAD">
        <w:rPr>
          <w:rFonts w:ascii="Times New Roman" w:hAnsi="Times New Roman"/>
          <w:sz w:val="24"/>
          <w:szCs w:val="24"/>
        </w:rPr>
        <w:t xml:space="preserve">, </w:t>
      </w:r>
      <w:r>
        <w:rPr>
          <w:rFonts w:ascii="Times New Roman" w:hAnsi="Times New Roman"/>
          <w:sz w:val="24"/>
          <w:szCs w:val="24"/>
          <w:lang w:val="sr-Cyrl-RS"/>
        </w:rPr>
        <w:t>Управа</w:t>
      </w:r>
      <w:r w:rsidRPr="00490AAD">
        <w:rPr>
          <w:rFonts w:ascii="Times New Roman" w:hAnsi="Times New Roman"/>
          <w:sz w:val="24"/>
          <w:szCs w:val="24"/>
        </w:rPr>
        <w:t xml:space="preserve"> </w:t>
      </w:r>
      <w:r w:rsidRPr="00490AAD">
        <w:rPr>
          <w:rFonts w:ascii="Times New Roman" w:hAnsi="Times New Roman"/>
          <w:sz w:val="24"/>
          <w:szCs w:val="24"/>
          <w:lang w:val="sr-Cyrl-RS"/>
        </w:rPr>
        <w:t xml:space="preserve">је примила </w:t>
      </w:r>
      <w:r w:rsidRPr="00490AAD">
        <w:rPr>
          <w:rFonts w:ascii="Times New Roman" w:hAnsi="Times New Roman"/>
          <w:sz w:val="24"/>
          <w:szCs w:val="24"/>
          <w:lang w:val="ru-RU"/>
        </w:rPr>
        <w:t xml:space="preserve">504 </w:t>
      </w:r>
      <w:r w:rsidRPr="00490AAD">
        <w:rPr>
          <w:rFonts w:ascii="Times New Roman" w:hAnsi="Times New Roman"/>
          <w:sz w:val="24"/>
          <w:szCs w:val="24"/>
          <w:lang w:val="sr-Cyrl-RS"/>
        </w:rPr>
        <w:t>писана захтева од којих је одговорено на</w:t>
      </w:r>
      <w:r w:rsidRPr="00490AAD">
        <w:rPr>
          <w:rFonts w:ascii="Times New Roman" w:hAnsi="Times New Roman"/>
          <w:sz w:val="24"/>
          <w:szCs w:val="24"/>
          <w:lang w:val="ru-RU"/>
        </w:rPr>
        <w:t xml:space="preserve"> </w:t>
      </w:r>
      <w:r w:rsidRPr="00490AAD">
        <w:rPr>
          <w:rFonts w:ascii="Times New Roman" w:hAnsi="Times New Roman"/>
          <w:sz w:val="24"/>
          <w:szCs w:val="24"/>
        </w:rPr>
        <w:t xml:space="preserve">420 </w:t>
      </w:r>
      <w:r w:rsidRPr="00490AAD">
        <w:rPr>
          <w:rFonts w:ascii="Times New Roman" w:hAnsi="Times New Roman"/>
          <w:sz w:val="24"/>
          <w:szCs w:val="24"/>
          <w:lang w:val="sr-Cyrl-RS"/>
        </w:rPr>
        <w:t xml:space="preserve">захтева. Припрема за свако тумачење </w:t>
      </w:r>
      <w:r w:rsidRPr="00593C1D">
        <w:rPr>
          <w:rFonts w:ascii="Times New Roman" w:hAnsi="Times New Roman"/>
          <w:sz w:val="24"/>
          <w:szCs w:val="24"/>
          <w:lang w:val="sr-Cyrl-RS"/>
        </w:rPr>
        <w:t>траје просечно</w:t>
      </w:r>
      <w:r w:rsidRPr="00593C1D">
        <w:rPr>
          <w:rFonts w:ascii="Times New Roman" w:hAnsi="Times New Roman"/>
          <w:sz w:val="24"/>
          <w:szCs w:val="24"/>
        </w:rPr>
        <w:t xml:space="preserve"> 4</w:t>
      </w:r>
      <w:r w:rsidRPr="00593C1D">
        <w:rPr>
          <w:rFonts w:ascii="Times New Roman" w:hAnsi="Times New Roman"/>
          <w:sz w:val="24"/>
          <w:szCs w:val="24"/>
          <w:lang w:val="sr-Cyrl-RS"/>
        </w:rPr>
        <w:t xml:space="preserve"> човек</w:t>
      </w:r>
      <w:r w:rsidRPr="00593C1D">
        <w:rPr>
          <w:rFonts w:ascii="Times New Roman" w:hAnsi="Times New Roman"/>
          <w:sz w:val="24"/>
          <w:szCs w:val="24"/>
        </w:rPr>
        <w:t>/</w:t>
      </w:r>
      <w:r w:rsidRPr="00593C1D">
        <w:rPr>
          <w:rFonts w:ascii="Times New Roman" w:hAnsi="Times New Roman"/>
          <w:sz w:val="24"/>
          <w:szCs w:val="24"/>
          <w:lang w:val="sr-Cyrl-RS"/>
        </w:rPr>
        <w:t>часа.</w:t>
      </w:r>
    </w:p>
    <w:p w:rsidR="00BF3283" w:rsidRPr="00593C1D" w:rsidRDefault="00BF3283" w:rsidP="00BF3283">
      <w:pPr>
        <w:jc w:val="both"/>
        <w:rPr>
          <w:rFonts w:ascii="Times New Roman" w:hAnsi="Times New Roman"/>
          <w:b/>
          <w:sz w:val="24"/>
          <w:szCs w:val="24"/>
          <w:lang w:val="sr-Cyrl-RS"/>
        </w:rPr>
      </w:pPr>
      <w:r w:rsidRPr="00593C1D">
        <w:rPr>
          <w:rFonts w:ascii="Times New Roman" w:hAnsi="Times New Roman"/>
          <w:b/>
          <w:sz w:val="24"/>
          <w:szCs w:val="24"/>
          <w:lang w:val="sr-Cyrl-RS"/>
        </w:rPr>
        <w:t>Друге врсте подршке корисницима</w:t>
      </w:r>
    </w:p>
    <w:p w:rsidR="00BF3283" w:rsidRPr="00117141" w:rsidRDefault="00BF3283" w:rsidP="00BF3283">
      <w:pPr>
        <w:jc w:val="both"/>
        <w:rPr>
          <w:rFonts w:ascii="Times New Roman" w:hAnsi="Times New Roman"/>
          <w:i/>
          <w:sz w:val="24"/>
          <w:szCs w:val="24"/>
          <w:lang w:val="sr-Cyrl-CS"/>
        </w:rPr>
      </w:pPr>
      <w:r>
        <w:rPr>
          <w:rFonts w:ascii="Times New Roman" w:hAnsi="Times New Roman"/>
          <w:sz w:val="24"/>
          <w:szCs w:val="24"/>
          <w:lang w:val="sr-Cyrl-RS"/>
        </w:rPr>
        <w:t xml:space="preserve">Управа </w:t>
      </w:r>
      <w:r w:rsidRPr="00593C1D">
        <w:rPr>
          <w:rFonts w:ascii="Times New Roman" w:hAnsi="Times New Roman"/>
          <w:sz w:val="24"/>
          <w:szCs w:val="24"/>
          <w:lang w:val="sr-Cyrl-RS"/>
        </w:rPr>
        <w:t>објављује на свом интернет-сајту</w:t>
      </w:r>
      <w:r w:rsidRPr="00593C1D">
        <w:rPr>
          <w:rFonts w:ascii="Times New Roman" w:hAnsi="Times New Roman"/>
          <w:sz w:val="24"/>
          <w:szCs w:val="24"/>
        </w:rPr>
        <w:t xml:space="preserve"> </w:t>
      </w:r>
      <w:r w:rsidRPr="00593C1D">
        <w:rPr>
          <w:rFonts w:ascii="Times New Roman" w:hAnsi="Times New Roman"/>
          <w:sz w:val="24"/>
          <w:szCs w:val="24"/>
          <w:lang w:val="sr-Cyrl-RS"/>
        </w:rPr>
        <w:t>одговоре на најчешће постављана питања заинтересованих корисника</w:t>
      </w:r>
      <w:r w:rsidRPr="00593C1D">
        <w:rPr>
          <w:rFonts w:ascii="Times New Roman" w:hAnsi="Times New Roman"/>
          <w:sz w:val="24"/>
          <w:szCs w:val="24"/>
        </w:rPr>
        <w:t xml:space="preserve"> </w:t>
      </w:r>
      <w:r w:rsidRPr="00593C1D">
        <w:rPr>
          <w:rFonts w:ascii="Times New Roman" w:hAnsi="Times New Roman"/>
          <w:sz w:val="24"/>
          <w:szCs w:val="24"/>
          <w:lang w:val="sr-Cyrl-RS"/>
        </w:rPr>
        <w:t xml:space="preserve">као и ставове о најрелевантнијим темама које су се појавиле током примене </w:t>
      </w:r>
      <w:r>
        <w:rPr>
          <w:rFonts w:ascii="Times New Roman" w:hAnsi="Times New Roman"/>
          <w:sz w:val="24"/>
          <w:szCs w:val="24"/>
          <w:lang w:val="sr-Cyrl-RS"/>
        </w:rPr>
        <w:t>Закона</w:t>
      </w:r>
      <w:r w:rsidRPr="00593C1D">
        <w:rPr>
          <w:rFonts w:ascii="Times New Roman" w:hAnsi="Times New Roman"/>
          <w:sz w:val="24"/>
          <w:szCs w:val="24"/>
        </w:rPr>
        <w:t xml:space="preserve">, </w:t>
      </w:r>
      <w:r w:rsidRPr="00593C1D">
        <w:rPr>
          <w:rFonts w:ascii="Times New Roman" w:hAnsi="Times New Roman"/>
          <w:sz w:val="24"/>
          <w:szCs w:val="24"/>
          <w:lang w:val="sr-Cyrl-RS"/>
        </w:rPr>
        <w:t>у оквиру рубрике</w:t>
      </w:r>
      <w:r w:rsidRPr="00593C1D">
        <w:rPr>
          <w:rFonts w:ascii="Times New Roman" w:hAnsi="Times New Roman"/>
          <w:sz w:val="24"/>
          <w:szCs w:val="24"/>
        </w:rPr>
        <w:t xml:space="preserve"> </w:t>
      </w:r>
      <w:r w:rsidRPr="00593C1D">
        <w:rPr>
          <w:rFonts w:ascii="Times New Roman" w:hAnsi="Times New Roman"/>
          <w:i/>
          <w:sz w:val="24"/>
          <w:szCs w:val="24"/>
          <w:lang w:val="sr-Cyrl-RS"/>
        </w:rPr>
        <w:t>Најчешће постављана питања</w:t>
      </w:r>
      <w:r w:rsidRPr="00593C1D">
        <w:rPr>
          <w:rFonts w:ascii="Times New Roman" w:hAnsi="Times New Roman"/>
          <w:i/>
          <w:sz w:val="24"/>
          <w:szCs w:val="24"/>
        </w:rPr>
        <w:t>.</w:t>
      </w:r>
    </w:p>
    <w:p w:rsidR="00BF3283" w:rsidRPr="00490AAD" w:rsidRDefault="00BF3283" w:rsidP="00BF3283">
      <w:pPr>
        <w:rPr>
          <w:rFonts w:ascii="Times New Roman" w:hAnsi="Times New Roman"/>
          <w:b/>
          <w:sz w:val="24"/>
          <w:szCs w:val="24"/>
          <w:lang w:val="sr-Cyrl-RS"/>
        </w:rPr>
      </w:pPr>
      <w:r w:rsidRPr="00593C1D">
        <w:rPr>
          <w:rFonts w:ascii="Times New Roman" w:hAnsi="Times New Roman"/>
          <w:b/>
          <w:sz w:val="24"/>
          <w:szCs w:val="24"/>
          <w:lang w:val="sr-Cyrl-RS"/>
        </w:rPr>
        <w:t>Оквирни споразуми</w:t>
      </w:r>
    </w:p>
    <w:p w:rsidR="00BF3283" w:rsidRPr="00490AAD" w:rsidRDefault="00BF3283" w:rsidP="00BF3283">
      <w:pPr>
        <w:jc w:val="both"/>
        <w:rPr>
          <w:rFonts w:ascii="Times New Roman" w:hAnsi="Times New Roman"/>
          <w:sz w:val="24"/>
          <w:szCs w:val="24"/>
          <w:lang w:val="sr-Cyrl-RS"/>
        </w:rPr>
      </w:pPr>
      <w:r w:rsidRPr="00490AAD">
        <w:rPr>
          <w:rFonts w:ascii="Times New Roman" w:hAnsi="Times New Roman"/>
          <w:sz w:val="24"/>
          <w:szCs w:val="24"/>
          <w:lang w:val="sr-Cyrl-RS"/>
        </w:rPr>
        <w:t xml:space="preserve">Од почетка примене новог </w:t>
      </w:r>
      <w:r>
        <w:rPr>
          <w:rFonts w:ascii="Times New Roman" w:hAnsi="Times New Roman"/>
          <w:sz w:val="24"/>
          <w:szCs w:val="24"/>
          <w:lang w:val="sr-Cyrl-RS"/>
        </w:rPr>
        <w:t>Закона</w:t>
      </w:r>
      <w:r w:rsidRPr="00490AAD">
        <w:rPr>
          <w:rFonts w:ascii="Times New Roman" w:hAnsi="Times New Roman"/>
          <w:sz w:val="24"/>
          <w:szCs w:val="24"/>
        </w:rPr>
        <w:t xml:space="preserve"> (</w:t>
      </w:r>
      <w:r w:rsidRPr="00490AAD">
        <w:rPr>
          <w:rFonts w:ascii="Times New Roman" w:hAnsi="Times New Roman"/>
          <w:sz w:val="24"/>
          <w:szCs w:val="24"/>
          <w:lang w:val="sr-Cyrl-RS"/>
        </w:rPr>
        <w:t>1. април</w:t>
      </w:r>
      <w:r w:rsidRPr="00490AAD">
        <w:rPr>
          <w:rFonts w:ascii="Times New Roman" w:hAnsi="Times New Roman"/>
          <w:sz w:val="24"/>
          <w:szCs w:val="24"/>
        </w:rPr>
        <w:t xml:space="preserve"> 2013</w:t>
      </w:r>
      <w:r>
        <w:rPr>
          <w:rFonts w:ascii="Times New Roman" w:hAnsi="Times New Roman"/>
          <w:sz w:val="24"/>
          <w:szCs w:val="24"/>
          <w:lang w:val="sr-Cyrl-CS"/>
        </w:rPr>
        <w:t>. године</w:t>
      </w:r>
      <w:r w:rsidRPr="00490AAD">
        <w:rPr>
          <w:rFonts w:ascii="Times New Roman" w:hAnsi="Times New Roman"/>
          <w:sz w:val="24"/>
          <w:szCs w:val="24"/>
        </w:rPr>
        <w:t xml:space="preserve">) </w:t>
      </w:r>
      <w:r w:rsidRPr="00C92791">
        <w:rPr>
          <w:rFonts w:ascii="Times New Roman" w:hAnsi="Times New Roman"/>
          <w:sz w:val="24"/>
          <w:szCs w:val="24"/>
        </w:rPr>
        <w:t>785</w:t>
      </w:r>
      <w:r w:rsidRPr="00490AAD">
        <w:rPr>
          <w:rFonts w:ascii="Times New Roman" w:hAnsi="Times New Roman"/>
          <w:sz w:val="24"/>
          <w:szCs w:val="24"/>
          <w:lang w:val="sr-Cyrl-RS"/>
        </w:rPr>
        <w:t xml:space="preserve"> </w:t>
      </w:r>
      <w:r w:rsidRPr="00490AAD">
        <w:rPr>
          <w:rFonts w:ascii="Times New Roman" w:hAnsi="Times New Roman"/>
          <w:sz w:val="24"/>
          <w:szCs w:val="24"/>
        </w:rPr>
        <w:t xml:space="preserve"> </w:t>
      </w:r>
      <w:r w:rsidRPr="00490AAD">
        <w:rPr>
          <w:rFonts w:ascii="Times New Roman" w:hAnsi="Times New Roman"/>
          <w:sz w:val="24"/>
          <w:szCs w:val="24"/>
          <w:lang w:val="sr-Cyrl-RS"/>
        </w:rPr>
        <w:t>уговора о јавним набавкама је закључено кроз оквирне споразум</w:t>
      </w:r>
      <w:r>
        <w:rPr>
          <w:rFonts w:ascii="Times New Roman" w:hAnsi="Times New Roman"/>
          <w:sz w:val="24"/>
          <w:szCs w:val="24"/>
          <w:lang w:val="sr-Cyrl-RS"/>
        </w:rPr>
        <w:t>е</w:t>
      </w:r>
      <w:r w:rsidRPr="00490AAD">
        <w:rPr>
          <w:rFonts w:ascii="Times New Roman" w:hAnsi="Times New Roman"/>
          <w:sz w:val="24"/>
          <w:szCs w:val="24"/>
        </w:rPr>
        <w:t xml:space="preserve">, </w:t>
      </w:r>
      <w:r>
        <w:rPr>
          <w:rFonts w:ascii="Times New Roman" w:hAnsi="Times New Roman"/>
          <w:sz w:val="24"/>
          <w:szCs w:val="24"/>
          <w:lang w:val="sr-Cyrl-RS"/>
        </w:rPr>
        <w:t>са укупном</w:t>
      </w:r>
      <w:r w:rsidRPr="00490AAD">
        <w:rPr>
          <w:rFonts w:ascii="Times New Roman" w:hAnsi="Times New Roman"/>
          <w:sz w:val="24"/>
          <w:szCs w:val="24"/>
          <w:lang w:val="sr-Cyrl-RS"/>
        </w:rPr>
        <w:t xml:space="preserve"> вредно</w:t>
      </w:r>
      <w:r>
        <w:rPr>
          <w:rFonts w:ascii="Times New Roman" w:hAnsi="Times New Roman"/>
          <w:sz w:val="24"/>
          <w:szCs w:val="24"/>
          <w:lang w:val="sr-Cyrl-RS"/>
        </w:rPr>
        <w:t>шћу</w:t>
      </w:r>
      <w:r w:rsidRPr="00490AAD">
        <w:rPr>
          <w:rFonts w:ascii="Times New Roman" w:hAnsi="Times New Roman"/>
          <w:sz w:val="24"/>
          <w:szCs w:val="24"/>
          <w:lang w:val="sr-Cyrl-RS"/>
        </w:rPr>
        <w:t xml:space="preserve"> </w:t>
      </w:r>
      <w:r>
        <w:rPr>
          <w:rFonts w:ascii="Times New Roman" w:hAnsi="Times New Roman"/>
          <w:sz w:val="24"/>
          <w:szCs w:val="24"/>
          <w:lang w:val="sr-Cyrl-RS"/>
        </w:rPr>
        <w:t>од</w:t>
      </w:r>
      <w:r w:rsidRPr="00490AAD">
        <w:rPr>
          <w:rFonts w:ascii="Times New Roman" w:hAnsi="Times New Roman"/>
          <w:sz w:val="24"/>
          <w:szCs w:val="24"/>
        </w:rPr>
        <w:t xml:space="preserve"> 18</w:t>
      </w:r>
      <w:r w:rsidRPr="00490AAD">
        <w:rPr>
          <w:rFonts w:ascii="Times New Roman" w:hAnsi="Times New Roman"/>
          <w:sz w:val="24"/>
          <w:szCs w:val="24"/>
          <w:lang w:val="sr-Cyrl-RS"/>
        </w:rPr>
        <w:t>.</w:t>
      </w:r>
      <w:r w:rsidRPr="00490AAD">
        <w:rPr>
          <w:rFonts w:ascii="Times New Roman" w:hAnsi="Times New Roman"/>
          <w:sz w:val="24"/>
          <w:szCs w:val="24"/>
        </w:rPr>
        <w:t xml:space="preserve">894.040.000 </w:t>
      </w:r>
      <w:r>
        <w:rPr>
          <w:rFonts w:ascii="Times New Roman" w:hAnsi="Times New Roman"/>
          <w:sz w:val="24"/>
          <w:szCs w:val="24"/>
          <w:lang w:val="sr-Cyrl-RS"/>
        </w:rPr>
        <w:t>динара.</w:t>
      </w:r>
    </w:p>
    <w:p w:rsidR="00BF3283" w:rsidRPr="00593C1D" w:rsidRDefault="00BF3283" w:rsidP="00BF3283">
      <w:pPr>
        <w:jc w:val="both"/>
        <w:rPr>
          <w:rFonts w:ascii="Times New Roman" w:hAnsi="Times New Roman"/>
          <w:b/>
          <w:sz w:val="24"/>
          <w:szCs w:val="24"/>
          <w:lang w:val="sr-Cyrl-RS"/>
        </w:rPr>
      </w:pPr>
      <w:r w:rsidRPr="00593C1D">
        <w:rPr>
          <w:rFonts w:ascii="Times New Roman" w:hAnsi="Times New Roman"/>
          <w:b/>
          <w:sz w:val="24"/>
          <w:szCs w:val="24"/>
          <w:lang w:val="sr-Cyrl-RS"/>
        </w:rPr>
        <w:t>Заједничко спровођење јавних набавки</w:t>
      </w:r>
    </w:p>
    <w:p w:rsidR="00BF3283" w:rsidRPr="00593C1D" w:rsidRDefault="00BF3283" w:rsidP="00BF3283">
      <w:pPr>
        <w:jc w:val="both"/>
        <w:rPr>
          <w:rFonts w:ascii="Times New Roman" w:hAnsi="Times New Roman"/>
          <w:sz w:val="24"/>
          <w:szCs w:val="24"/>
          <w:lang w:val="sr-Cyrl-RS"/>
        </w:rPr>
      </w:pPr>
      <w:r w:rsidRPr="00593C1D">
        <w:rPr>
          <w:rFonts w:ascii="Times New Roman" w:hAnsi="Times New Roman"/>
          <w:sz w:val="24"/>
          <w:szCs w:val="24"/>
          <w:lang w:val="sr-Cyrl-RS"/>
        </w:rPr>
        <w:t>У складу са чланом</w:t>
      </w:r>
      <w:r w:rsidRPr="00593C1D">
        <w:rPr>
          <w:rFonts w:ascii="Times New Roman" w:hAnsi="Times New Roman"/>
          <w:sz w:val="24"/>
          <w:szCs w:val="24"/>
        </w:rPr>
        <w:t xml:space="preserve"> 50</w:t>
      </w:r>
      <w:r>
        <w:rPr>
          <w:rFonts w:ascii="Times New Roman" w:hAnsi="Times New Roman"/>
          <w:sz w:val="24"/>
          <w:szCs w:val="24"/>
          <w:lang w:val="sr-Cyrl-CS"/>
        </w:rPr>
        <w:t>.</w:t>
      </w:r>
      <w:r w:rsidRPr="00593C1D">
        <w:rPr>
          <w:rFonts w:ascii="Times New Roman" w:hAnsi="Times New Roman"/>
          <w:sz w:val="24"/>
          <w:szCs w:val="24"/>
        </w:rPr>
        <w:t xml:space="preserve"> </w:t>
      </w:r>
      <w:r w:rsidR="006F0466">
        <w:rPr>
          <w:rFonts w:ascii="Times New Roman" w:hAnsi="Times New Roman"/>
          <w:sz w:val="24"/>
          <w:szCs w:val="24"/>
          <w:lang w:val="sr-Cyrl-RS"/>
        </w:rPr>
        <w:t>З</w:t>
      </w:r>
      <w:r>
        <w:rPr>
          <w:rFonts w:ascii="Times New Roman" w:hAnsi="Times New Roman"/>
          <w:sz w:val="24"/>
          <w:szCs w:val="24"/>
          <w:lang w:val="sr-Cyrl-RS"/>
        </w:rPr>
        <w:t>акона</w:t>
      </w:r>
      <w:r w:rsidRPr="00593C1D">
        <w:rPr>
          <w:rFonts w:ascii="Times New Roman" w:hAnsi="Times New Roman"/>
          <w:sz w:val="24"/>
          <w:szCs w:val="24"/>
        </w:rPr>
        <w:t xml:space="preserve">, </w:t>
      </w:r>
      <w:r w:rsidR="006F0466">
        <w:rPr>
          <w:rFonts w:ascii="Times New Roman" w:hAnsi="Times New Roman"/>
          <w:sz w:val="24"/>
          <w:szCs w:val="24"/>
          <w:lang w:val="sr-Cyrl-RS"/>
        </w:rPr>
        <w:t>У</w:t>
      </w:r>
      <w:r>
        <w:rPr>
          <w:rFonts w:ascii="Times New Roman" w:hAnsi="Times New Roman"/>
          <w:sz w:val="24"/>
          <w:szCs w:val="24"/>
          <w:lang w:val="sr-Cyrl-RS"/>
        </w:rPr>
        <w:t>права</w:t>
      </w:r>
      <w:r w:rsidRPr="00593C1D">
        <w:rPr>
          <w:rFonts w:ascii="Times New Roman" w:hAnsi="Times New Roman"/>
          <w:sz w:val="24"/>
          <w:szCs w:val="24"/>
        </w:rPr>
        <w:t xml:space="preserve"> </w:t>
      </w:r>
      <w:r w:rsidRPr="00593C1D">
        <w:rPr>
          <w:rFonts w:ascii="Times New Roman" w:hAnsi="Times New Roman"/>
          <w:sz w:val="24"/>
          <w:szCs w:val="24"/>
          <w:lang w:val="sr-Cyrl-RS"/>
        </w:rPr>
        <w:t xml:space="preserve">је дала </w:t>
      </w:r>
      <w:r w:rsidRPr="00593C1D">
        <w:rPr>
          <w:rFonts w:ascii="Times New Roman" w:hAnsi="Times New Roman"/>
          <w:sz w:val="24"/>
          <w:szCs w:val="24"/>
        </w:rPr>
        <w:t xml:space="preserve">90 </w:t>
      </w:r>
      <w:r w:rsidRPr="00593C1D">
        <w:rPr>
          <w:rFonts w:ascii="Times New Roman" w:hAnsi="Times New Roman"/>
          <w:sz w:val="24"/>
          <w:szCs w:val="24"/>
          <w:lang w:val="sr-Cyrl-RS"/>
        </w:rPr>
        <w:t>мишљења</w:t>
      </w:r>
      <w:r w:rsidRPr="00593C1D">
        <w:rPr>
          <w:rFonts w:ascii="Times New Roman" w:hAnsi="Times New Roman"/>
          <w:sz w:val="24"/>
          <w:szCs w:val="24"/>
        </w:rPr>
        <w:t xml:space="preserve"> </w:t>
      </w:r>
      <w:r w:rsidRPr="00593C1D">
        <w:rPr>
          <w:rFonts w:ascii="Times New Roman" w:hAnsi="Times New Roman"/>
          <w:sz w:val="24"/>
          <w:szCs w:val="24"/>
          <w:lang w:val="sr-Cyrl-RS"/>
        </w:rPr>
        <w:t>на одлуке о заједничком спровођењу јавних набавки од стране више наручилаца</w:t>
      </w:r>
      <w:r>
        <w:rPr>
          <w:rFonts w:ascii="Times New Roman" w:hAnsi="Times New Roman"/>
          <w:sz w:val="24"/>
          <w:szCs w:val="24"/>
          <w:lang w:val="sr-Cyrl-RS"/>
        </w:rPr>
        <w:t>,</w:t>
      </w:r>
      <w:r w:rsidRPr="00593C1D">
        <w:rPr>
          <w:rFonts w:ascii="Times New Roman" w:hAnsi="Times New Roman"/>
          <w:sz w:val="24"/>
          <w:szCs w:val="24"/>
          <w:lang w:val="sr-Cyrl-RS"/>
        </w:rPr>
        <w:t xml:space="preserve"> од чега</w:t>
      </w:r>
      <w:r w:rsidRPr="00593C1D">
        <w:rPr>
          <w:rFonts w:ascii="Times New Roman" w:hAnsi="Times New Roman"/>
          <w:sz w:val="24"/>
          <w:szCs w:val="24"/>
        </w:rPr>
        <w:t xml:space="preserve"> </w:t>
      </w:r>
      <w:r w:rsidRPr="00593C1D">
        <w:rPr>
          <w:rFonts w:ascii="Times New Roman" w:hAnsi="Times New Roman"/>
          <w:sz w:val="24"/>
          <w:szCs w:val="24"/>
          <w:lang w:val="sr-Cyrl-RS"/>
        </w:rPr>
        <w:t>су 86 била позитивна.</w:t>
      </w:r>
    </w:p>
    <w:p w:rsidR="00BF3283" w:rsidRPr="00593C1D" w:rsidRDefault="00BF3283" w:rsidP="00BF3283">
      <w:pPr>
        <w:jc w:val="both"/>
        <w:rPr>
          <w:rFonts w:ascii="Times New Roman" w:hAnsi="Times New Roman"/>
          <w:b/>
          <w:sz w:val="24"/>
          <w:szCs w:val="24"/>
          <w:lang w:val="sr-Cyrl-RS"/>
        </w:rPr>
      </w:pPr>
      <w:r w:rsidRPr="00593C1D">
        <w:rPr>
          <w:rFonts w:ascii="Times New Roman" w:hAnsi="Times New Roman"/>
          <w:b/>
          <w:sz w:val="24"/>
          <w:szCs w:val="24"/>
          <w:lang w:val="sr-Cyrl-RS"/>
        </w:rPr>
        <w:t>Централизоване набавке</w:t>
      </w:r>
    </w:p>
    <w:p w:rsidR="00BF3283" w:rsidRPr="00855A1A" w:rsidRDefault="00BF3283" w:rsidP="00BF3283">
      <w:pPr>
        <w:jc w:val="both"/>
        <w:rPr>
          <w:rFonts w:ascii="Times New Roman" w:hAnsi="Times New Roman"/>
          <w:sz w:val="24"/>
          <w:szCs w:val="24"/>
          <w:lang w:val="sr-Cyrl-CS"/>
        </w:rPr>
      </w:pPr>
      <w:r w:rsidRPr="00593C1D">
        <w:rPr>
          <w:rFonts w:ascii="Times New Roman" w:hAnsi="Times New Roman"/>
          <w:sz w:val="24"/>
          <w:szCs w:val="24"/>
          <w:lang w:val="sr-Cyrl-RS"/>
        </w:rPr>
        <w:t xml:space="preserve">Од почетка примене новог </w:t>
      </w:r>
      <w:r>
        <w:rPr>
          <w:rFonts w:ascii="Times New Roman" w:hAnsi="Times New Roman"/>
          <w:sz w:val="24"/>
          <w:szCs w:val="24"/>
          <w:lang w:val="sr-Cyrl-RS"/>
        </w:rPr>
        <w:t>Закона</w:t>
      </w:r>
      <w:r w:rsidRPr="00C92791">
        <w:rPr>
          <w:rFonts w:ascii="Times New Roman" w:hAnsi="Times New Roman"/>
          <w:sz w:val="24"/>
          <w:szCs w:val="24"/>
          <w:lang w:val="sr-Cyrl-RS"/>
        </w:rPr>
        <w:t xml:space="preserve">, </w:t>
      </w:r>
      <w:r w:rsidRPr="00C92791">
        <w:rPr>
          <w:rFonts w:ascii="Times New Roman" w:hAnsi="Times New Roman"/>
          <w:sz w:val="24"/>
          <w:szCs w:val="24"/>
        </w:rPr>
        <w:t xml:space="preserve"> 1</w:t>
      </w:r>
      <w:r w:rsidR="00742372">
        <w:rPr>
          <w:rFonts w:ascii="Times New Roman" w:hAnsi="Times New Roman"/>
          <w:sz w:val="24"/>
          <w:szCs w:val="24"/>
          <w:lang w:val="sr-Cyrl-RS"/>
        </w:rPr>
        <w:t>.</w:t>
      </w:r>
      <w:r w:rsidRPr="00C92791">
        <w:rPr>
          <w:rFonts w:ascii="Times New Roman" w:hAnsi="Times New Roman"/>
          <w:sz w:val="24"/>
          <w:szCs w:val="24"/>
        </w:rPr>
        <w:t>245</w:t>
      </w:r>
      <w:r>
        <w:rPr>
          <w:rFonts w:ascii="Times New Roman" w:hAnsi="Times New Roman"/>
          <w:sz w:val="24"/>
          <w:szCs w:val="24"/>
          <w:lang w:val="sr-Cyrl-CS"/>
        </w:rPr>
        <w:t xml:space="preserve"> </w:t>
      </w:r>
      <w:r w:rsidRPr="00593C1D">
        <w:rPr>
          <w:rFonts w:ascii="Times New Roman" w:hAnsi="Times New Roman"/>
          <w:sz w:val="24"/>
          <w:szCs w:val="24"/>
          <w:lang w:val="sr-Cyrl-RS"/>
        </w:rPr>
        <w:t>уговора о јавним набавкама је закључено кроз централизоване набавке</w:t>
      </w:r>
      <w:r w:rsidRPr="00593C1D">
        <w:rPr>
          <w:rFonts w:ascii="Times New Roman" w:hAnsi="Times New Roman"/>
          <w:sz w:val="24"/>
          <w:szCs w:val="24"/>
        </w:rPr>
        <w:t>,</w:t>
      </w:r>
      <w:r w:rsidRPr="00593C1D">
        <w:rPr>
          <w:rFonts w:ascii="Times New Roman" w:hAnsi="Times New Roman"/>
          <w:sz w:val="24"/>
          <w:szCs w:val="24"/>
          <w:lang w:val="sr-Cyrl-RS"/>
        </w:rPr>
        <w:t xml:space="preserve"> чија је укупна вредност </w:t>
      </w:r>
      <w:r>
        <w:rPr>
          <w:rFonts w:ascii="Times New Roman" w:hAnsi="Times New Roman"/>
          <w:sz w:val="24"/>
          <w:szCs w:val="24"/>
          <w:lang w:val="sr-Cyrl-RS"/>
        </w:rPr>
        <w:t>износила</w:t>
      </w:r>
      <w:r w:rsidRPr="00593C1D">
        <w:rPr>
          <w:rFonts w:ascii="Times New Roman" w:hAnsi="Times New Roman"/>
          <w:sz w:val="24"/>
          <w:szCs w:val="24"/>
        </w:rPr>
        <w:t xml:space="preserve">  21.264.023.000 </w:t>
      </w:r>
      <w:r w:rsidRPr="00593C1D">
        <w:rPr>
          <w:rFonts w:ascii="Times New Roman" w:hAnsi="Times New Roman"/>
          <w:sz w:val="24"/>
          <w:szCs w:val="24"/>
          <w:lang w:val="sr-Cyrl-RS"/>
        </w:rPr>
        <w:t>динара</w:t>
      </w:r>
      <w:r>
        <w:rPr>
          <w:rFonts w:ascii="Times New Roman" w:hAnsi="Times New Roman"/>
          <w:sz w:val="24"/>
          <w:szCs w:val="24"/>
          <w:lang w:val="sr-Cyrl-CS"/>
        </w:rPr>
        <w:t>.</w:t>
      </w:r>
    </w:p>
    <w:p w:rsidR="00BF3283" w:rsidRPr="00593C1D" w:rsidRDefault="00BF3283" w:rsidP="00BF3283">
      <w:pPr>
        <w:jc w:val="both"/>
        <w:rPr>
          <w:rFonts w:ascii="Times New Roman" w:hAnsi="Times New Roman"/>
          <w:b/>
          <w:sz w:val="24"/>
          <w:szCs w:val="24"/>
          <w:lang w:val="sr-Cyrl-RS"/>
        </w:rPr>
      </w:pPr>
      <w:r w:rsidRPr="00593C1D">
        <w:rPr>
          <w:rFonts w:ascii="Times New Roman" w:hAnsi="Times New Roman"/>
          <w:b/>
          <w:sz w:val="24"/>
          <w:szCs w:val="24"/>
          <w:lang w:val="sr-Cyrl-RS"/>
        </w:rPr>
        <w:t>Грађански надзорник</w:t>
      </w:r>
    </w:p>
    <w:p w:rsidR="002B389D" w:rsidRPr="000125A8" w:rsidRDefault="00BF3283" w:rsidP="00BF3283">
      <w:pPr>
        <w:jc w:val="both"/>
        <w:rPr>
          <w:rFonts w:ascii="Times New Roman" w:hAnsi="Times New Roman"/>
          <w:sz w:val="24"/>
          <w:szCs w:val="24"/>
          <w:lang w:val="sr-Cyrl-RS"/>
        </w:rPr>
      </w:pPr>
      <w:r w:rsidRPr="00593C1D">
        <w:rPr>
          <w:rFonts w:ascii="Times New Roman" w:hAnsi="Times New Roman"/>
          <w:sz w:val="24"/>
          <w:szCs w:val="24"/>
          <w:lang w:val="sr-Cyrl-RS"/>
        </w:rPr>
        <w:t xml:space="preserve">У </w:t>
      </w:r>
      <w:r w:rsidRPr="00593C1D">
        <w:rPr>
          <w:rFonts w:ascii="Times New Roman" w:hAnsi="Times New Roman"/>
          <w:sz w:val="24"/>
          <w:szCs w:val="24"/>
        </w:rPr>
        <w:t xml:space="preserve"> 2014</w:t>
      </w:r>
      <w:r>
        <w:rPr>
          <w:rFonts w:ascii="Times New Roman" w:hAnsi="Times New Roman"/>
          <w:sz w:val="24"/>
          <w:szCs w:val="24"/>
          <w:lang w:val="sr-Cyrl-CS"/>
        </w:rPr>
        <w:t>.</w:t>
      </w:r>
      <w:r w:rsidRPr="00593C1D">
        <w:rPr>
          <w:rFonts w:ascii="Times New Roman" w:hAnsi="Times New Roman"/>
          <w:sz w:val="24"/>
          <w:szCs w:val="24"/>
          <w:lang w:val="sr-Cyrl-RS"/>
        </w:rPr>
        <w:t xml:space="preserve"> години, у складу са </w:t>
      </w:r>
      <w:r w:rsidRPr="00593C1D">
        <w:rPr>
          <w:rFonts w:ascii="Times New Roman" w:hAnsi="Times New Roman"/>
          <w:sz w:val="24"/>
          <w:szCs w:val="24"/>
        </w:rPr>
        <w:t xml:space="preserve"> </w:t>
      </w:r>
      <w:r w:rsidRPr="00593C1D">
        <w:rPr>
          <w:rFonts w:ascii="Times New Roman" w:hAnsi="Times New Roman"/>
          <w:sz w:val="24"/>
          <w:szCs w:val="24"/>
          <w:lang w:val="sr-Cyrl-RS"/>
        </w:rPr>
        <w:t xml:space="preserve">чланом </w:t>
      </w:r>
      <w:r w:rsidRPr="00593C1D">
        <w:rPr>
          <w:rFonts w:ascii="Times New Roman" w:hAnsi="Times New Roman"/>
          <w:sz w:val="24"/>
          <w:szCs w:val="24"/>
        </w:rPr>
        <w:t>28</w:t>
      </w:r>
      <w:r w:rsidRPr="00593C1D">
        <w:rPr>
          <w:rFonts w:ascii="Times New Roman" w:hAnsi="Times New Roman"/>
          <w:sz w:val="24"/>
          <w:szCs w:val="24"/>
          <w:lang w:val="sr-Cyrl-RS"/>
        </w:rPr>
        <w:t xml:space="preserve">. </w:t>
      </w:r>
      <w:r>
        <w:rPr>
          <w:rFonts w:ascii="Times New Roman" w:hAnsi="Times New Roman"/>
          <w:sz w:val="24"/>
          <w:szCs w:val="24"/>
          <w:lang w:val="sr-Cyrl-RS"/>
        </w:rPr>
        <w:t>Закона</w:t>
      </w:r>
      <w:r w:rsidRPr="00593C1D">
        <w:rPr>
          <w:rFonts w:ascii="Times New Roman" w:hAnsi="Times New Roman"/>
          <w:sz w:val="24"/>
          <w:szCs w:val="24"/>
          <w:lang w:val="sr-Cyrl-RS"/>
        </w:rPr>
        <w:t xml:space="preserve">, </w:t>
      </w:r>
      <w:r>
        <w:rPr>
          <w:rFonts w:ascii="Times New Roman" w:hAnsi="Times New Roman"/>
          <w:sz w:val="24"/>
          <w:szCs w:val="24"/>
          <w:lang w:val="sr-Cyrl-RS"/>
        </w:rPr>
        <w:t>Управа</w:t>
      </w:r>
      <w:r w:rsidRPr="00593C1D">
        <w:rPr>
          <w:rFonts w:ascii="Times New Roman" w:hAnsi="Times New Roman"/>
          <w:sz w:val="24"/>
          <w:szCs w:val="24"/>
          <w:lang w:val="sr-Cyrl-RS"/>
        </w:rPr>
        <w:t xml:space="preserve"> је именовала</w:t>
      </w:r>
      <w:r w:rsidRPr="00593C1D">
        <w:rPr>
          <w:rFonts w:ascii="Times New Roman" w:hAnsi="Times New Roman"/>
          <w:sz w:val="24"/>
          <w:szCs w:val="24"/>
        </w:rPr>
        <w:t xml:space="preserve">  </w:t>
      </w:r>
      <w:r w:rsidRPr="00C92791">
        <w:rPr>
          <w:rFonts w:ascii="Times New Roman" w:hAnsi="Times New Roman"/>
          <w:sz w:val="24"/>
          <w:szCs w:val="24"/>
        </w:rPr>
        <w:t xml:space="preserve">17 грађанских </w:t>
      </w:r>
      <w:r w:rsidRPr="00C92791">
        <w:rPr>
          <w:rFonts w:ascii="Times New Roman" w:hAnsi="Times New Roman"/>
          <w:sz w:val="24"/>
          <w:szCs w:val="24"/>
          <w:lang w:val="sr-Cyrl-RS"/>
        </w:rPr>
        <w:t>надзорника</w:t>
      </w:r>
      <w:r w:rsidRPr="00593C1D">
        <w:rPr>
          <w:rFonts w:ascii="Times New Roman" w:hAnsi="Times New Roman"/>
          <w:sz w:val="24"/>
          <w:szCs w:val="24"/>
        </w:rPr>
        <w:t xml:space="preserve"> </w:t>
      </w:r>
      <w:r w:rsidRPr="00593C1D">
        <w:rPr>
          <w:rFonts w:ascii="Times New Roman" w:hAnsi="Times New Roman"/>
          <w:sz w:val="24"/>
          <w:szCs w:val="24"/>
          <w:lang w:val="sr-Cyrl-RS"/>
        </w:rPr>
        <w:t>за поступке јавних набавки изнад 1 милијарде динара.</w:t>
      </w:r>
    </w:p>
    <w:p w:rsidR="00BF3283" w:rsidRPr="00490AAD" w:rsidRDefault="00BF3283" w:rsidP="00BF3283">
      <w:pPr>
        <w:jc w:val="both"/>
        <w:rPr>
          <w:rFonts w:ascii="Times New Roman" w:hAnsi="Times New Roman"/>
          <w:b/>
          <w:sz w:val="24"/>
          <w:szCs w:val="24"/>
          <w:lang w:val="sr-Cyrl-RS"/>
        </w:rPr>
      </w:pPr>
      <w:r w:rsidRPr="00593C1D">
        <w:rPr>
          <w:rFonts w:ascii="Times New Roman" w:hAnsi="Times New Roman"/>
          <w:b/>
          <w:sz w:val="24"/>
          <w:szCs w:val="24"/>
          <w:lang w:val="sr-Cyrl-RS"/>
        </w:rPr>
        <w:lastRenderedPageBreak/>
        <w:t>Измене уговора</w:t>
      </w:r>
    </w:p>
    <w:p w:rsidR="00BF3283" w:rsidRPr="00593C1D" w:rsidRDefault="00BF3283" w:rsidP="00BF3283">
      <w:pPr>
        <w:jc w:val="both"/>
        <w:rPr>
          <w:rFonts w:ascii="Times New Roman" w:hAnsi="Times New Roman"/>
          <w:sz w:val="24"/>
          <w:szCs w:val="24"/>
          <w:lang w:val="sr-Cyrl-RS"/>
        </w:rPr>
      </w:pPr>
      <w:r>
        <w:rPr>
          <w:rFonts w:ascii="Times New Roman" w:eastAsia="Times New Roman" w:hAnsi="Times New Roman"/>
          <w:sz w:val="24"/>
          <w:szCs w:val="24"/>
          <w:lang w:val="sr-Cyrl-RS"/>
        </w:rPr>
        <w:t xml:space="preserve">Управа је започела са активностима </w:t>
      </w:r>
      <w:r w:rsidRPr="00490AAD">
        <w:rPr>
          <w:rFonts w:ascii="Times New Roman" w:eastAsia="Times New Roman" w:hAnsi="Times New Roman"/>
          <w:sz w:val="24"/>
          <w:szCs w:val="24"/>
          <w:lang w:val="sr-Cyrl-RS"/>
        </w:rPr>
        <w:t>анализир</w:t>
      </w:r>
      <w:r>
        <w:rPr>
          <w:rFonts w:ascii="Times New Roman" w:eastAsia="Times New Roman" w:hAnsi="Times New Roman"/>
          <w:sz w:val="24"/>
          <w:szCs w:val="24"/>
          <w:lang w:val="sr-Cyrl-RS"/>
        </w:rPr>
        <w:t>ања поднетих</w:t>
      </w:r>
      <w:r w:rsidRPr="00490AAD">
        <w:rPr>
          <w:rFonts w:ascii="Times New Roman" w:eastAsia="Times New Roman" w:hAnsi="Times New Roman"/>
          <w:sz w:val="24"/>
          <w:szCs w:val="24"/>
          <w:lang w:val="sr-Cyrl-RS"/>
        </w:rPr>
        <w:t xml:space="preserve"> извештај</w:t>
      </w:r>
      <w:r w:rsidR="002820D8">
        <w:rPr>
          <w:rFonts w:ascii="Times New Roman" w:eastAsia="Times New Roman" w:hAnsi="Times New Roman"/>
          <w:sz w:val="24"/>
          <w:szCs w:val="24"/>
          <w:lang w:val="sr-Cyrl-RS"/>
        </w:rPr>
        <w:t>а</w:t>
      </w:r>
      <w:r w:rsidRPr="00490AAD">
        <w:rPr>
          <w:rFonts w:ascii="Times New Roman" w:eastAsia="Times New Roman" w:hAnsi="Times New Roman"/>
          <w:sz w:val="24"/>
          <w:szCs w:val="24"/>
          <w:lang w:val="sr-Cyrl-RS"/>
        </w:rPr>
        <w:t xml:space="preserve"> о изменама уговора</w:t>
      </w:r>
      <w:r>
        <w:rPr>
          <w:rFonts w:ascii="Times New Roman" w:eastAsia="Times New Roman" w:hAnsi="Times New Roman"/>
          <w:sz w:val="24"/>
          <w:szCs w:val="24"/>
          <w:lang w:val="sr-Cyrl-RS"/>
        </w:rPr>
        <w:t xml:space="preserve"> од стране наручилаца, како</w:t>
      </w:r>
      <w:r w:rsidRPr="00490AAD">
        <w:rPr>
          <w:rFonts w:ascii="Times New Roman" w:eastAsia="Times New Roman" w:hAnsi="Times New Roman"/>
          <w:sz w:val="24"/>
          <w:szCs w:val="24"/>
          <w:lang w:val="sr-Cyrl-RS"/>
        </w:rPr>
        <w:t xml:space="preserve"> би утврдила </w:t>
      </w:r>
      <w:r>
        <w:rPr>
          <w:rFonts w:ascii="Times New Roman" w:eastAsia="Times New Roman" w:hAnsi="Times New Roman"/>
          <w:sz w:val="24"/>
          <w:szCs w:val="24"/>
          <w:lang w:val="sr-Cyrl-RS"/>
        </w:rPr>
        <w:t>има ли основа</w:t>
      </w:r>
      <w:r w:rsidRPr="00593C1D">
        <w:rPr>
          <w:rFonts w:ascii="Times New Roman" w:eastAsia="Times New Roman" w:hAnsi="Times New Roman"/>
          <w:sz w:val="24"/>
          <w:szCs w:val="24"/>
          <w:lang w:val="sr-Cyrl-RS"/>
        </w:rPr>
        <w:t xml:space="preserve"> за покретање прекршајн</w:t>
      </w:r>
      <w:r>
        <w:rPr>
          <w:rFonts w:ascii="Times New Roman" w:eastAsia="Times New Roman" w:hAnsi="Times New Roman"/>
          <w:sz w:val="24"/>
          <w:szCs w:val="24"/>
          <w:lang w:val="sr-Cyrl-RS"/>
        </w:rPr>
        <w:t xml:space="preserve">их </w:t>
      </w:r>
      <w:r w:rsidRPr="00593C1D">
        <w:rPr>
          <w:rFonts w:ascii="Times New Roman" w:eastAsia="Times New Roman" w:hAnsi="Times New Roman"/>
          <w:sz w:val="24"/>
          <w:szCs w:val="24"/>
          <w:lang w:val="sr-Cyrl-RS"/>
        </w:rPr>
        <w:t>поступ</w:t>
      </w:r>
      <w:r>
        <w:rPr>
          <w:rFonts w:ascii="Times New Roman" w:eastAsia="Times New Roman" w:hAnsi="Times New Roman"/>
          <w:sz w:val="24"/>
          <w:szCs w:val="24"/>
          <w:lang w:val="sr-Cyrl-RS"/>
        </w:rPr>
        <w:t>а</w:t>
      </w:r>
      <w:r w:rsidRPr="00593C1D">
        <w:rPr>
          <w:rFonts w:ascii="Times New Roman" w:eastAsia="Times New Roman" w:hAnsi="Times New Roman"/>
          <w:sz w:val="24"/>
          <w:szCs w:val="24"/>
          <w:lang w:val="sr-Cyrl-RS"/>
        </w:rPr>
        <w:t>к</w:t>
      </w:r>
      <w:r>
        <w:rPr>
          <w:rFonts w:ascii="Times New Roman" w:eastAsia="Times New Roman" w:hAnsi="Times New Roman"/>
          <w:sz w:val="24"/>
          <w:szCs w:val="24"/>
          <w:lang w:val="sr-Cyrl-RS"/>
        </w:rPr>
        <w:t>а</w:t>
      </w:r>
      <w:r w:rsidRPr="00593C1D">
        <w:rPr>
          <w:rFonts w:ascii="Times New Roman" w:eastAsia="Times New Roman" w:hAnsi="Times New Roman"/>
          <w:sz w:val="24"/>
          <w:szCs w:val="24"/>
          <w:lang w:val="sr-Cyrl-RS"/>
        </w:rPr>
        <w:t>.</w:t>
      </w:r>
      <w:r w:rsidRPr="00593C1D">
        <w:rPr>
          <w:rFonts w:ascii="Times New Roman" w:eastAsia="Times New Roman" w:hAnsi="Times New Roman"/>
          <w:sz w:val="24"/>
          <w:szCs w:val="24"/>
        </w:rPr>
        <w:t xml:space="preserve"> </w:t>
      </w:r>
    </w:p>
    <w:p w:rsidR="00BF3283" w:rsidRPr="00593C1D" w:rsidRDefault="00BF3283" w:rsidP="00BF3283">
      <w:pPr>
        <w:rPr>
          <w:rFonts w:ascii="Times New Roman" w:hAnsi="Times New Roman"/>
          <w:b/>
          <w:sz w:val="24"/>
          <w:szCs w:val="24"/>
          <w:lang w:val="sr-Cyrl-RS"/>
        </w:rPr>
      </w:pPr>
      <w:r w:rsidRPr="00593C1D">
        <w:rPr>
          <w:rFonts w:ascii="Times New Roman" w:hAnsi="Times New Roman"/>
          <w:b/>
          <w:sz w:val="24"/>
          <w:szCs w:val="24"/>
          <w:lang w:val="sr-Cyrl-RS"/>
        </w:rPr>
        <w:t>Прекршајни поступци</w:t>
      </w:r>
    </w:p>
    <w:p w:rsidR="00BF3283" w:rsidRPr="00593C1D" w:rsidRDefault="00BF3283" w:rsidP="00BF3283">
      <w:pPr>
        <w:jc w:val="both"/>
        <w:rPr>
          <w:rFonts w:ascii="Times New Roman" w:hAnsi="Times New Roman"/>
          <w:sz w:val="24"/>
          <w:szCs w:val="24"/>
          <w:lang w:val="sr-Cyrl-RS"/>
        </w:rPr>
      </w:pPr>
      <w:r w:rsidRPr="00593C1D">
        <w:rPr>
          <w:rFonts w:ascii="Times New Roman" w:hAnsi="Times New Roman"/>
          <w:sz w:val="24"/>
          <w:szCs w:val="24"/>
          <w:lang w:val="sr-Cyrl-RS"/>
        </w:rPr>
        <w:t xml:space="preserve">Од </w:t>
      </w:r>
      <w:r w:rsidR="00B94990">
        <w:rPr>
          <w:rFonts w:ascii="Times New Roman" w:hAnsi="Times New Roman"/>
          <w:sz w:val="24"/>
          <w:szCs w:val="24"/>
          <w:lang w:val="sr-Cyrl-CS"/>
        </w:rPr>
        <w:t>1</w:t>
      </w:r>
      <w:r>
        <w:rPr>
          <w:rFonts w:ascii="Times New Roman" w:hAnsi="Times New Roman"/>
          <w:sz w:val="24"/>
          <w:szCs w:val="24"/>
          <w:lang w:val="sr-Cyrl-CS"/>
        </w:rPr>
        <w:t xml:space="preserve">. </w:t>
      </w:r>
      <w:r w:rsidRPr="00593C1D">
        <w:rPr>
          <w:rFonts w:ascii="Times New Roman" w:hAnsi="Times New Roman"/>
          <w:sz w:val="24"/>
          <w:szCs w:val="24"/>
          <w:lang w:val="sr-Cyrl-RS"/>
        </w:rPr>
        <w:t>марта</w:t>
      </w:r>
      <w:r w:rsidRPr="00593C1D">
        <w:rPr>
          <w:rFonts w:ascii="Times New Roman" w:hAnsi="Times New Roman"/>
          <w:sz w:val="24"/>
          <w:szCs w:val="24"/>
        </w:rPr>
        <w:t xml:space="preserve"> 2014</w:t>
      </w:r>
      <w:r>
        <w:rPr>
          <w:rFonts w:ascii="Times New Roman" w:hAnsi="Times New Roman"/>
          <w:sz w:val="24"/>
          <w:szCs w:val="24"/>
          <w:lang w:val="sr-Cyrl-CS"/>
        </w:rPr>
        <w:t>. године</w:t>
      </w:r>
      <w:r w:rsidRPr="00593C1D">
        <w:rPr>
          <w:rFonts w:ascii="Times New Roman" w:hAnsi="Times New Roman"/>
          <w:sz w:val="24"/>
          <w:szCs w:val="24"/>
        </w:rPr>
        <w:t xml:space="preserve">, </w:t>
      </w:r>
      <w:r w:rsidRPr="00593C1D">
        <w:rPr>
          <w:rFonts w:ascii="Times New Roman" w:hAnsi="Times New Roman"/>
          <w:sz w:val="24"/>
          <w:szCs w:val="24"/>
          <w:lang w:val="sr-Cyrl-RS"/>
        </w:rPr>
        <w:t>кад је нови Закон о прекршајима почео да се примењује</w:t>
      </w:r>
      <w:r w:rsidRPr="00593C1D">
        <w:rPr>
          <w:rFonts w:ascii="Times New Roman" w:hAnsi="Times New Roman"/>
          <w:sz w:val="24"/>
          <w:szCs w:val="24"/>
        </w:rPr>
        <w:t xml:space="preserve">, </w:t>
      </w:r>
      <w:r>
        <w:rPr>
          <w:rFonts w:ascii="Times New Roman" w:hAnsi="Times New Roman"/>
          <w:sz w:val="24"/>
          <w:szCs w:val="24"/>
          <w:lang w:val="sr-Cyrl-RS"/>
        </w:rPr>
        <w:t>Управа</w:t>
      </w:r>
      <w:r w:rsidRPr="00593C1D">
        <w:rPr>
          <w:rFonts w:ascii="Times New Roman" w:hAnsi="Times New Roman"/>
          <w:sz w:val="24"/>
          <w:szCs w:val="24"/>
          <w:lang w:val="sr-Cyrl-RS"/>
        </w:rPr>
        <w:t xml:space="preserve"> је поднела</w:t>
      </w:r>
      <w:r w:rsidRPr="00593C1D">
        <w:rPr>
          <w:rFonts w:ascii="Times New Roman" w:hAnsi="Times New Roman"/>
          <w:sz w:val="24"/>
          <w:szCs w:val="24"/>
        </w:rPr>
        <w:t xml:space="preserve"> </w:t>
      </w:r>
      <w:r w:rsidRPr="00C92791">
        <w:rPr>
          <w:rFonts w:ascii="Times New Roman" w:hAnsi="Times New Roman"/>
          <w:sz w:val="24"/>
          <w:szCs w:val="24"/>
        </w:rPr>
        <w:t xml:space="preserve">26 </w:t>
      </w:r>
      <w:r w:rsidRPr="00C92791">
        <w:rPr>
          <w:rFonts w:ascii="Times New Roman" w:hAnsi="Times New Roman"/>
          <w:sz w:val="24"/>
          <w:szCs w:val="24"/>
          <w:lang w:val="sr-Cyrl-RS"/>
        </w:rPr>
        <w:t>захтева за покретање прекршајног поступка</w:t>
      </w:r>
      <w:r w:rsidRPr="00C92791">
        <w:rPr>
          <w:rFonts w:ascii="Times New Roman" w:hAnsi="Times New Roman"/>
          <w:sz w:val="24"/>
          <w:szCs w:val="24"/>
        </w:rPr>
        <w:t xml:space="preserve"> </w:t>
      </w:r>
      <w:r w:rsidRPr="00C92791">
        <w:rPr>
          <w:rFonts w:ascii="Times New Roman" w:hAnsi="Times New Roman"/>
          <w:sz w:val="24"/>
          <w:szCs w:val="24"/>
          <w:lang w:val="sr-Cyrl-RS"/>
        </w:rPr>
        <w:t>Републичкој комисији за заштиту права у поступцима</w:t>
      </w:r>
      <w:r w:rsidRPr="00490AAD">
        <w:rPr>
          <w:rFonts w:ascii="Times New Roman" w:hAnsi="Times New Roman"/>
          <w:sz w:val="24"/>
          <w:szCs w:val="24"/>
          <w:lang w:val="sr-Cyrl-RS"/>
        </w:rPr>
        <w:t xml:space="preserve"> јавних набавки</w:t>
      </w:r>
      <w:r w:rsidRPr="00490AAD">
        <w:rPr>
          <w:rFonts w:ascii="Times New Roman" w:hAnsi="Times New Roman"/>
          <w:sz w:val="24"/>
          <w:szCs w:val="24"/>
        </w:rPr>
        <w:t xml:space="preserve">. </w:t>
      </w:r>
      <w:r w:rsidRPr="00490AAD">
        <w:rPr>
          <w:rFonts w:ascii="Times New Roman" w:hAnsi="Times New Roman"/>
          <w:sz w:val="24"/>
          <w:szCs w:val="24"/>
          <w:lang w:val="sr-Cyrl-RS"/>
        </w:rPr>
        <w:t>Републичка комисија</w:t>
      </w:r>
      <w:r w:rsidRPr="00490AAD">
        <w:rPr>
          <w:rFonts w:ascii="Times New Roman" w:hAnsi="Times New Roman"/>
          <w:sz w:val="24"/>
          <w:szCs w:val="24"/>
        </w:rPr>
        <w:t>,</w:t>
      </w:r>
      <w:r w:rsidRPr="00490AAD">
        <w:rPr>
          <w:rFonts w:ascii="Times New Roman" w:hAnsi="Times New Roman"/>
          <w:sz w:val="24"/>
          <w:szCs w:val="24"/>
          <w:lang w:val="sr-Cyrl-RS"/>
        </w:rPr>
        <w:t xml:space="preserve"> у складу са својим надлежностима одлучује о </w:t>
      </w:r>
      <w:r w:rsidRPr="00593C1D">
        <w:rPr>
          <w:rFonts w:ascii="Times New Roman" w:hAnsi="Times New Roman"/>
          <w:sz w:val="24"/>
          <w:szCs w:val="24"/>
          <w:lang w:val="sr-Cyrl-RS"/>
        </w:rPr>
        <w:t>прекршајима у области јавних набавки.</w:t>
      </w:r>
      <w:r w:rsidRPr="00593C1D">
        <w:rPr>
          <w:rFonts w:ascii="Times New Roman" w:hAnsi="Times New Roman"/>
          <w:sz w:val="24"/>
          <w:szCs w:val="24"/>
        </w:rPr>
        <w:t xml:space="preserve"> </w:t>
      </w:r>
    </w:p>
    <w:p w:rsidR="00BF3283" w:rsidRPr="00490AAD" w:rsidRDefault="00BF3283" w:rsidP="00BF3283">
      <w:pPr>
        <w:jc w:val="both"/>
        <w:rPr>
          <w:rFonts w:ascii="Times New Roman" w:hAnsi="Times New Roman"/>
          <w:b/>
          <w:sz w:val="24"/>
          <w:szCs w:val="24"/>
          <w:lang w:val="sr-Cyrl-RS"/>
        </w:rPr>
      </w:pPr>
      <w:r w:rsidRPr="00593C1D">
        <w:rPr>
          <w:rFonts w:ascii="Times New Roman" w:hAnsi="Times New Roman"/>
          <w:b/>
          <w:sz w:val="24"/>
          <w:szCs w:val="24"/>
          <w:lang w:val="sr-Cyrl-RS"/>
        </w:rPr>
        <w:t>Негативне референце</w:t>
      </w:r>
    </w:p>
    <w:p w:rsidR="00BF3283" w:rsidRPr="007B35CB" w:rsidRDefault="00BF3283" w:rsidP="00BF3283">
      <w:pPr>
        <w:jc w:val="both"/>
        <w:rPr>
          <w:rFonts w:ascii="Times New Roman" w:hAnsi="Times New Roman"/>
          <w:sz w:val="24"/>
          <w:szCs w:val="24"/>
          <w:lang w:val="sr-Cyrl-RS"/>
        </w:rPr>
      </w:pPr>
      <w:r w:rsidRPr="00490AAD">
        <w:rPr>
          <w:rFonts w:ascii="Times New Roman" w:hAnsi="Times New Roman"/>
          <w:sz w:val="24"/>
          <w:szCs w:val="24"/>
          <w:lang w:val="sr-Cyrl-RS"/>
        </w:rPr>
        <w:t xml:space="preserve">Члан 83. </w:t>
      </w:r>
      <w:r>
        <w:rPr>
          <w:rFonts w:ascii="Times New Roman" w:hAnsi="Times New Roman"/>
          <w:sz w:val="24"/>
          <w:szCs w:val="24"/>
          <w:lang w:val="sr-Cyrl-RS"/>
        </w:rPr>
        <w:t>Закона</w:t>
      </w:r>
      <w:r w:rsidRPr="00490AAD">
        <w:rPr>
          <w:rFonts w:ascii="Times New Roman" w:hAnsi="Times New Roman"/>
          <w:sz w:val="24"/>
          <w:szCs w:val="24"/>
        </w:rPr>
        <w:t xml:space="preserve"> </w:t>
      </w:r>
      <w:r w:rsidRPr="00490AAD">
        <w:rPr>
          <w:rFonts w:ascii="Times New Roman" w:hAnsi="Times New Roman"/>
          <w:sz w:val="24"/>
          <w:szCs w:val="24"/>
          <w:lang w:val="sr-Cyrl-RS"/>
        </w:rPr>
        <w:t xml:space="preserve">прописује обавезу </w:t>
      </w:r>
      <w:r>
        <w:rPr>
          <w:rFonts w:ascii="Times New Roman" w:hAnsi="Times New Roman"/>
          <w:sz w:val="24"/>
          <w:szCs w:val="24"/>
          <w:lang w:val="sr-Cyrl-RS"/>
        </w:rPr>
        <w:t>Управе</w:t>
      </w:r>
      <w:r w:rsidRPr="00490AAD">
        <w:rPr>
          <w:rFonts w:ascii="Times New Roman" w:hAnsi="Times New Roman"/>
          <w:sz w:val="24"/>
          <w:szCs w:val="24"/>
        </w:rPr>
        <w:t xml:space="preserve"> </w:t>
      </w:r>
      <w:r w:rsidRPr="00490AAD">
        <w:rPr>
          <w:rFonts w:ascii="Times New Roman" w:hAnsi="Times New Roman"/>
          <w:sz w:val="24"/>
          <w:szCs w:val="24"/>
          <w:lang w:val="sr-Cyrl-RS"/>
        </w:rPr>
        <w:t>да води списак негативних референци</w:t>
      </w:r>
      <w:r w:rsidRPr="00490AAD">
        <w:rPr>
          <w:rFonts w:ascii="Times New Roman" w:hAnsi="Times New Roman"/>
          <w:sz w:val="24"/>
          <w:szCs w:val="24"/>
        </w:rPr>
        <w:t xml:space="preserve">. </w:t>
      </w:r>
      <w:r>
        <w:rPr>
          <w:rFonts w:ascii="Times New Roman" w:hAnsi="Times New Roman"/>
          <w:sz w:val="24"/>
          <w:szCs w:val="24"/>
          <w:lang w:val="sr-Cyrl-CS"/>
        </w:rPr>
        <w:t>Иако је Управа</w:t>
      </w:r>
      <w:r w:rsidRPr="00490AAD">
        <w:rPr>
          <w:rFonts w:ascii="Times New Roman" w:hAnsi="Times New Roman"/>
          <w:sz w:val="24"/>
          <w:szCs w:val="24"/>
          <w:lang w:val="sr-Cyrl-RS"/>
        </w:rPr>
        <w:t xml:space="preserve"> </w:t>
      </w:r>
      <w:r>
        <w:rPr>
          <w:rFonts w:ascii="Times New Roman" w:hAnsi="Times New Roman"/>
          <w:sz w:val="24"/>
          <w:szCs w:val="24"/>
          <w:lang w:val="sr-Cyrl-RS"/>
        </w:rPr>
        <w:t>примила</w:t>
      </w:r>
      <w:r w:rsidRPr="00490AAD">
        <w:rPr>
          <w:rFonts w:ascii="Times New Roman" w:hAnsi="Times New Roman"/>
          <w:sz w:val="24"/>
          <w:szCs w:val="24"/>
          <w:lang w:val="sr-Cyrl-RS"/>
        </w:rPr>
        <w:t xml:space="preserve"> </w:t>
      </w:r>
      <w:r w:rsidRPr="00BA1370">
        <w:rPr>
          <w:rFonts w:ascii="Times New Roman" w:hAnsi="Times New Roman"/>
          <w:sz w:val="24"/>
          <w:szCs w:val="24"/>
        </w:rPr>
        <w:t>176</w:t>
      </w:r>
      <w:r w:rsidRPr="00490AAD">
        <w:rPr>
          <w:rFonts w:ascii="Times New Roman" w:hAnsi="Times New Roman"/>
          <w:b/>
          <w:sz w:val="24"/>
          <w:szCs w:val="24"/>
        </w:rPr>
        <w:t xml:space="preserve"> </w:t>
      </w:r>
      <w:r w:rsidRPr="00490AAD">
        <w:rPr>
          <w:rFonts w:ascii="Times New Roman" w:hAnsi="Times New Roman"/>
          <w:b/>
          <w:sz w:val="24"/>
          <w:szCs w:val="24"/>
          <w:lang w:val="sr-Cyrl-RS"/>
        </w:rPr>
        <w:t xml:space="preserve"> </w:t>
      </w:r>
      <w:r w:rsidRPr="00490AAD">
        <w:rPr>
          <w:rFonts w:ascii="Times New Roman" w:hAnsi="Times New Roman"/>
          <w:sz w:val="24"/>
          <w:szCs w:val="24"/>
          <w:lang w:val="sr-Cyrl-RS"/>
        </w:rPr>
        <w:t>доказа који се односе на негативне референце</w:t>
      </w:r>
      <w:r>
        <w:rPr>
          <w:rFonts w:ascii="Times New Roman" w:hAnsi="Times New Roman"/>
          <w:sz w:val="24"/>
          <w:szCs w:val="24"/>
          <w:lang w:val="sr-Cyrl-CS"/>
        </w:rPr>
        <w:t xml:space="preserve">, </w:t>
      </w:r>
      <w:r w:rsidRPr="00490AAD">
        <w:rPr>
          <w:rFonts w:ascii="Times New Roman" w:hAnsi="Times New Roman"/>
          <w:sz w:val="24"/>
          <w:szCs w:val="24"/>
          <w:lang w:val="sr-Cyrl-RS"/>
        </w:rPr>
        <w:t xml:space="preserve">није било правне основе да се неки понуђач </w:t>
      </w:r>
      <w:r>
        <w:rPr>
          <w:rFonts w:ascii="Times New Roman" w:hAnsi="Times New Roman"/>
          <w:sz w:val="24"/>
          <w:szCs w:val="24"/>
          <w:lang w:val="sr-Cyrl-RS"/>
        </w:rPr>
        <w:t xml:space="preserve">уврсти на ову листу. </w:t>
      </w:r>
      <w:r w:rsidRPr="00490AAD">
        <w:rPr>
          <w:rFonts w:ascii="Times New Roman" w:hAnsi="Times New Roman"/>
          <w:sz w:val="24"/>
          <w:szCs w:val="24"/>
          <w:lang w:val="sr-Cyrl-RS"/>
        </w:rPr>
        <w:t xml:space="preserve">Наиме, </w:t>
      </w:r>
      <w:r>
        <w:rPr>
          <w:rFonts w:ascii="Times New Roman" w:hAnsi="Times New Roman"/>
          <w:sz w:val="24"/>
          <w:szCs w:val="24"/>
          <w:lang w:val="sr-Cyrl-RS"/>
        </w:rPr>
        <w:t>Закон</w:t>
      </w:r>
      <w:r w:rsidRPr="00490AAD">
        <w:rPr>
          <w:rFonts w:ascii="Times New Roman" w:hAnsi="Times New Roman"/>
          <w:sz w:val="24"/>
          <w:szCs w:val="24"/>
          <w:lang w:val="sr-Cyrl-RS"/>
        </w:rPr>
        <w:t xml:space="preserve"> предвиђа</w:t>
      </w:r>
      <w:r w:rsidRPr="00490AAD">
        <w:rPr>
          <w:rFonts w:ascii="Times New Roman" w:hAnsi="Times New Roman"/>
          <w:sz w:val="24"/>
          <w:szCs w:val="24"/>
        </w:rPr>
        <w:t xml:space="preserve"> </w:t>
      </w:r>
      <w:r w:rsidRPr="00490AAD">
        <w:rPr>
          <w:rFonts w:ascii="Times New Roman" w:hAnsi="Times New Roman"/>
          <w:sz w:val="24"/>
          <w:szCs w:val="24"/>
          <w:lang w:val="sr-Cyrl-RS"/>
        </w:rPr>
        <w:t>да основ</w:t>
      </w:r>
      <w:r>
        <w:rPr>
          <w:rFonts w:ascii="Times New Roman" w:hAnsi="Times New Roman"/>
          <w:sz w:val="24"/>
          <w:szCs w:val="24"/>
          <w:lang w:val="sr-Cyrl-RS"/>
        </w:rPr>
        <w:t xml:space="preserve"> за упис на </w:t>
      </w:r>
      <w:r w:rsidRPr="00490AAD">
        <w:rPr>
          <w:rFonts w:ascii="Times New Roman" w:hAnsi="Times New Roman"/>
          <w:sz w:val="24"/>
          <w:szCs w:val="24"/>
          <w:lang w:val="sr-Cyrl-RS"/>
        </w:rPr>
        <w:t xml:space="preserve">листу </w:t>
      </w:r>
      <w:r>
        <w:rPr>
          <w:rFonts w:ascii="Times New Roman" w:hAnsi="Times New Roman"/>
          <w:sz w:val="24"/>
          <w:szCs w:val="24"/>
          <w:lang w:val="sr-Cyrl-RS"/>
        </w:rPr>
        <w:t xml:space="preserve">мора да </w:t>
      </w:r>
      <w:r w:rsidRPr="00490AAD">
        <w:rPr>
          <w:rFonts w:ascii="Times New Roman" w:hAnsi="Times New Roman"/>
          <w:sz w:val="24"/>
          <w:szCs w:val="24"/>
          <w:lang w:val="sr-Cyrl-RS"/>
        </w:rPr>
        <w:t xml:space="preserve">дође </w:t>
      </w:r>
      <w:r>
        <w:rPr>
          <w:rFonts w:ascii="Times New Roman" w:hAnsi="Times New Roman"/>
          <w:sz w:val="24"/>
          <w:szCs w:val="24"/>
          <w:lang w:val="sr-Cyrl-RS"/>
        </w:rPr>
        <w:t xml:space="preserve">од стране </w:t>
      </w:r>
      <w:r w:rsidRPr="00490AAD">
        <w:rPr>
          <w:rFonts w:ascii="Times New Roman" w:hAnsi="Times New Roman"/>
          <w:sz w:val="24"/>
          <w:szCs w:val="24"/>
          <w:lang w:val="sr-Cyrl-RS"/>
        </w:rPr>
        <w:t>најмање три независна извора</w:t>
      </w:r>
      <w:r>
        <w:rPr>
          <w:rFonts w:ascii="Times New Roman" w:hAnsi="Times New Roman"/>
          <w:sz w:val="24"/>
          <w:szCs w:val="24"/>
          <w:lang w:val="sr-Cyrl-RS"/>
        </w:rPr>
        <w:t>, односно наручиоца</w:t>
      </w:r>
      <w:r>
        <w:rPr>
          <w:rFonts w:ascii="Times New Roman" w:hAnsi="Times New Roman"/>
          <w:sz w:val="24"/>
          <w:szCs w:val="24"/>
          <w:lang w:val="sr-Cyrl-CS"/>
        </w:rPr>
        <w:t xml:space="preserve">, а </w:t>
      </w:r>
      <w:r>
        <w:rPr>
          <w:rFonts w:ascii="Times New Roman" w:hAnsi="Times New Roman"/>
          <w:sz w:val="24"/>
          <w:szCs w:val="24"/>
          <w:lang w:val="sr-Cyrl-RS"/>
        </w:rPr>
        <w:t>Управа</w:t>
      </w:r>
      <w:r w:rsidRPr="00490AAD">
        <w:rPr>
          <w:rFonts w:ascii="Times New Roman" w:hAnsi="Times New Roman"/>
          <w:sz w:val="24"/>
          <w:szCs w:val="24"/>
          <w:lang w:val="sr-Cyrl-RS"/>
        </w:rPr>
        <w:t xml:space="preserve"> је </w:t>
      </w:r>
      <w:r>
        <w:rPr>
          <w:rFonts w:ascii="Times New Roman" w:hAnsi="Times New Roman"/>
          <w:sz w:val="24"/>
          <w:szCs w:val="24"/>
          <w:lang w:val="sr-Cyrl-RS"/>
        </w:rPr>
        <w:t xml:space="preserve">досад </w:t>
      </w:r>
      <w:r w:rsidRPr="00490AAD">
        <w:rPr>
          <w:rFonts w:ascii="Times New Roman" w:hAnsi="Times New Roman"/>
          <w:sz w:val="24"/>
          <w:szCs w:val="24"/>
          <w:lang w:val="sr-Cyrl-RS"/>
        </w:rPr>
        <w:t xml:space="preserve">примила негативне референце за понуђаче из једног или </w:t>
      </w:r>
      <w:r>
        <w:rPr>
          <w:rFonts w:ascii="Times New Roman" w:hAnsi="Times New Roman"/>
          <w:sz w:val="24"/>
          <w:szCs w:val="24"/>
          <w:lang w:val="sr-Cyrl-RS"/>
        </w:rPr>
        <w:t xml:space="preserve">највише </w:t>
      </w:r>
      <w:r w:rsidRPr="00490AAD">
        <w:rPr>
          <w:rFonts w:ascii="Times New Roman" w:hAnsi="Times New Roman"/>
          <w:sz w:val="24"/>
          <w:szCs w:val="24"/>
          <w:lang w:val="sr-Cyrl-RS"/>
        </w:rPr>
        <w:t>два извора</w:t>
      </w:r>
      <w:r>
        <w:rPr>
          <w:rFonts w:ascii="Times New Roman" w:hAnsi="Times New Roman"/>
          <w:sz w:val="24"/>
          <w:szCs w:val="24"/>
          <w:lang w:val="sr-Cyrl-RS"/>
        </w:rPr>
        <w:t>.</w:t>
      </w:r>
      <w:r w:rsidRPr="00490AAD">
        <w:rPr>
          <w:rFonts w:ascii="Times New Roman" w:hAnsi="Times New Roman"/>
          <w:sz w:val="24"/>
          <w:szCs w:val="24"/>
        </w:rPr>
        <w:t xml:space="preserve"> </w:t>
      </w:r>
    </w:p>
    <w:p w:rsidR="00BF3283" w:rsidRPr="0064034A" w:rsidRDefault="00BF3283" w:rsidP="00BF3283">
      <w:pPr>
        <w:jc w:val="both"/>
        <w:rPr>
          <w:rFonts w:ascii="Times New Roman" w:hAnsi="Times New Roman"/>
          <w:b/>
          <w:sz w:val="24"/>
          <w:szCs w:val="24"/>
        </w:rPr>
      </w:pPr>
      <w:r w:rsidRPr="0064034A">
        <w:rPr>
          <w:rFonts w:ascii="Times New Roman" w:hAnsi="Times New Roman"/>
          <w:b/>
          <w:sz w:val="24"/>
          <w:szCs w:val="24"/>
        </w:rPr>
        <w:t xml:space="preserve">Међуинституционална сарадња </w:t>
      </w:r>
    </w:p>
    <w:p w:rsidR="00BF3283" w:rsidRPr="0064034A" w:rsidRDefault="00BF3283" w:rsidP="00BF3283">
      <w:pPr>
        <w:jc w:val="both"/>
        <w:rPr>
          <w:rFonts w:ascii="Times New Roman" w:hAnsi="Times New Roman"/>
          <w:sz w:val="24"/>
          <w:szCs w:val="24"/>
        </w:rPr>
      </w:pPr>
      <w:r w:rsidRPr="0064034A">
        <w:rPr>
          <w:rFonts w:ascii="Times New Roman" w:hAnsi="Times New Roman"/>
          <w:sz w:val="24"/>
          <w:szCs w:val="24"/>
        </w:rPr>
        <w:t xml:space="preserve">Током припрема за експленаторни и билатерални скрининг, као и током самих скрининга, остварена је успешна сарадња између свих релевантних институција. Поред тога, у процес су били укључени и </w:t>
      </w:r>
      <w:r w:rsidRPr="00490AAD">
        <w:rPr>
          <w:rFonts w:ascii="Times New Roman" w:hAnsi="Times New Roman"/>
          <w:sz w:val="24"/>
          <w:szCs w:val="24"/>
        </w:rPr>
        <w:t>представници невладиних тела, као што су: Стална конференција градова и општина, затим Привредна комора Србије, невладине организације попут Транспарентности Србија. Подршку Управи и Преговарачкој групи 5</w:t>
      </w:r>
      <w:r w:rsidRPr="00490AAD">
        <w:rPr>
          <w:rFonts w:ascii="Times New Roman" w:hAnsi="Times New Roman"/>
          <w:sz w:val="24"/>
          <w:szCs w:val="24"/>
          <w:lang w:val="sr-Cyrl-RS"/>
        </w:rPr>
        <w:t>, у</w:t>
      </w:r>
      <w:r w:rsidRPr="00490AAD">
        <w:rPr>
          <w:rFonts w:ascii="Times New Roman" w:hAnsi="Times New Roman"/>
          <w:sz w:val="24"/>
          <w:szCs w:val="24"/>
        </w:rPr>
        <w:t xml:space="preserve"> циљу што боље припреме за преговарачки процес, пружили су: ПЛАК пројекат ЕУ, УНДП, ГИЗ и ОЕБС.  </w:t>
      </w:r>
    </w:p>
    <w:p w:rsidR="00BF3283" w:rsidRPr="00706295" w:rsidRDefault="00BF3283" w:rsidP="00BF3283">
      <w:pPr>
        <w:jc w:val="both"/>
        <w:rPr>
          <w:rFonts w:ascii="Times New Roman" w:hAnsi="Times New Roman"/>
          <w:sz w:val="24"/>
          <w:szCs w:val="24"/>
          <w:lang w:val="sr-Cyrl-RS"/>
        </w:rPr>
      </w:pPr>
      <w:r w:rsidRPr="0064034A">
        <w:rPr>
          <w:rFonts w:ascii="Times New Roman" w:hAnsi="Times New Roman"/>
          <w:sz w:val="24"/>
          <w:szCs w:val="24"/>
        </w:rPr>
        <w:t xml:space="preserve">Успешна сарадња међу </w:t>
      </w:r>
      <w:r w:rsidRPr="00AC70AD">
        <w:rPr>
          <w:rFonts w:ascii="Times New Roman" w:hAnsi="Times New Roman"/>
          <w:sz w:val="24"/>
          <w:szCs w:val="24"/>
        </w:rPr>
        <w:t xml:space="preserve">институцијама остварена је и током рада на Стратегији развоја јавних набавки где је </w:t>
      </w:r>
      <w:r>
        <w:rPr>
          <w:rFonts w:ascii="Times New Roman" w:hAnsi="Times New Roman"/>
          <w:sz w:val="24"/>
          <w:szCs w:val="24"/>
          <w:lang w:val="sr-Cyrl-CS"/>
        </w:rPr>
        <w:t>Управа</w:t>
      </w:r>
      <w:r w:rsidRPr="00AC70AD">
        <w:rPr>
          <w:rFonts w:ascii="Times New Roman" w:hAnsi="Times New Roman"/>
          <w:sz w:val="24"/>
          <w:szCs w:val="24"/>
        </w:rPr>
        <w:t xml:space="preserve"> имала координативну улогу. Такође је потписан и Меморандум о сарадњи између: Републичке комисије за заштиту права у поступцима јавних набавки,  </w:t>
      </w:r>
      <w:r w:rsidR="00C52F55">
        <w:rPr>
          <w:rFonts w:ascii="Times New Roman" w:hAnsi="Times New Roman"/>
          <w:sz w:val="24"/>
          <w:szCs w:val="24"/>
          <w:lang w:val="sr-Cyrl-RS"/>
        </w:rPr>
        <w:t>ДРИ</w:t>
      </w:r>
      <w:r w:rsidRPr="0064034A">
        <w:rPr>
          <w:rFonts w:ascii="Times New Roman" w:hAnsi="Times New Roman"/>
          <w:sz w:val="24"/>
          <w:szCs w:val="24"/>
        </w:rPr>
        <w:t>, Агенције за борбу против корупције, Савета за борбу против корупције, Ко</w:t>
      </w:r>
      <w:r>
        <w:rPr>
          <w:rFonts w:ascii="Times New Roman" w:hAnsi="Times New Roman"/>
          <w:sz w:val="24"/>
          <w:szCs w:val="24"/>
        </w:rPr>
        <w:t>мисије за заштиту конкуренције</w:t>
      </w:r>
      <w:r w:rsidRPr="0064034A">
        <w:rPr>
          <w:rFonts w:ascii="Times New Roman" w:hAnsi="Times New Roman"/>
          <w:sz w:val="24"/>
          <w:szCs w:val="24"/>
        </w:rPr>
        <w:t>, Министарства финансија, Министарства привреде и Управе за јавне набавке, као м</w:t>
      </w:r>
      <w:r>
        <w:rPr>
          <w:rFonts w:ascii="Times New Roman" w:hAnsi="Times New Roman"/>
          <w:sz w:val="24"/>
          <w:szCs w:val="24"/>
        </w:rPr>
        <w:t>ер</w:t>
      </w:r>
      <w:r>
        <w:rPr>
          <w:rFonts w:ascii="Times New Roman" w:hAnsi="Times New Roman"/>
          <w:sz w:val="24"/>
          <w:szCs w:val="24"/>
          <w:lang w:val="sr-Cyrl-RS"/>
        </w:rPr>
        <w:t>е</w:t>
      </w:r>
      <w:r w:rsidRPr="0064034A">
        <w:rPr>
          <w:rFonts w:ascii="Times New Roman" w:hAnsi="Times New Roman"/>
          <w:sz w:val="24"/>
          <w:szCs w:val="24"/>
        </w:rPr>
        <w:t xml:space="preserve"> из Акционог плана за спровођење Националне стратегије за борбу против корупције. Меморандум, између осталог, предвиђа унапређивање размене података између институција, као и формирање заједничке базе података.  </w:t>
      </w:r>
    </w:p>
    <w:p w:rsidR="00BF3283" w:rsidRPr="0064034A" w:rsidRDefault="00BF3283" w:rsidP="00BF3283">
      <w:pPr>
        <w:jc w:val="both"/>
        <w:rPr>
          <w:rFonts w:ascii="Times New Roman" w:hAnsi="Times New Roman"/>
          <w:sz w:val="24"/>
          <w:szCs w:val="24"/>
          <w:lang w:val="ru-RU"/>
        </w:rPr>
      </w:pPr>
      <w:r w:rsidRPr="0064034A">
        <w:rPr>
          <w:rFonts w:ascii="Times New Roman" w:hAnsi="Times New Roman"/>
          <w:sz w:val="24"/>
          <w:szCs w:val="24"/>
          <w:lang w:val="ru-RU"/>
        </w:rPr>
        <w:t xml:space="preserve">Поред тога, Управа и Републичко јавно тужилаштво су потписали и билатерални Меморандум о сарадњи, такође као реализацију мере из Акционог плана за спровођење Националане стратегије за борбу против корупције. Сврха Меморандума је да се унапреди координација ове две институције на откривању и истрази кривичних дела у области јавних набавки.  </w:t>
      </w:r>
    </w:p>
    <w:p w:rsidR="00BF3283" w:rsidRPr="0064034A" w:rsidRDefault="00BF3283" w:rsidP="00BF3283">
      <w:pPr>
        <w:jc w:val="both"/>
        <w:rPr>
          <w:rFonts w:ascii="Times New Roman" w:hAnsi="Times New Roman"/>
          <w:sz w:val="24"/>
          <w:szCs w:val="24"/>
        </w:rPr>
      </w:pPr>
      <w:r w:rsidRPr="0064034A">
        <w:rPr>
          <w:rFonts w:ascii="Times New Roman" w:hAnsi="Times New Roman"/>
          <w:sz w:val="24"/>
          <w:szCs w:val="24"/>
        </w:rPr>
        <w:t xml:space="preserve">Представници Управе </w:t>
      </w:r>
      <w:r>
        <w:rPr>
          <w:rFonts w:ascii="Times New Roman" w:hAnsi="Times New Roman"/>
          <w:sz w:val="24"/>
          <w:szCs w:val="24"/>
          <w:lang w:val="sr-Cyrl-CS"/>
        </w:rPr>
        <w:t xml:space="preserve"> </w:t>
      </w:r>
      <w:r>
        <w:rPr>
          <w:rFonts w:ascii="Times New Roman" w:hAnsi="Times New Roman"/>
          <w:sz w:val="24"/>
          <w:szCs w:val="24"/>
        </w:rPr>
        <w:t>учествовали су у пр</w:t>
      </w:r>
      <w:r>
        <w:rPr>
          <w:rFonts w:ascii="Times New Roman" w:hAnsi="Times New Roman"/>
          <w:sz w:val="24"/>
          <w:szCs w:val="24"/>
          <w:lang w:val="sr-Cyrl-RS"/>
        </w:rPr>
        <w:t xml:space="preserve">ипреми </w:t>
      </w:r>
      <w:r w:rsidRPr="0064034A">
        <w:rPr>
          <w:rFonts w:ascii="Times New Roman" w:hAnsi="Times New Roman"/>
          <w:sz w:val="24"/>
          <w:szCs w:val="24"/>
        </w:rPr>
        <w:t xml:space="preserve">нацрта предлога Акционог плана за испуњавање препорука Извештаја о скринингу за поглавље 23, подпоглавље – Борба против корупције. </w:t>
      </w:r>
    </w:p>
    <w:p w:rsidR="00BF3283" w:rsidRPr="0064034A" w:rsidRDefault="00BF3283" w:rsidP="00BF3283">
      <w:pPr>
        <w:jc w:val="both"/>
        <w:rPr>
          <w:rFonts w:ascii="Times New Roman" w:hAnsi="Times New Roman"/>
          <w:sz w:val="24"/>
          <w:szCs w:val="24"/>
        </w:rPr>
      </w:pPr>
      <w:r w:rsidRPr="0064034A">
        <w:rPr>
          <w:rFonts w:ascii="Times New Roman" w:hAnsi="Times New Roman"/>
          <w:sz w:val="24"/>
          <w:szCs w:val="24"/>
        </w:rPr>
        <w:lastRenderedPageBreak/>
        <w:t xml:space="preserve">Поред тога, представници </w:t>
      </w:r>
      <w:r>
        <w:rPr>
          <w:rFonts w:ascii="Times New Roman" w:hAnsi="Times New Roman"/>
          <w:sz w:val="24"/>
          <w:szCs w:val="24"/>
          <w:lang w:val="sr-Cyrl-CS"/>
        </w:rPr>
        <w:t>Управе</w:t>
      </w:r>
      <w:r w:rsidRPr="0064034A">
        <w:rPr>
          <w:rFonts w:ascii="Times New Roman" w:hAnsi="Times New Roman"/>
          <w:sz w:val="24"/>
          <w:szCs w:val="24"/>
        </w:rPr>
        <w:t xml:space="preserve"> учествовали су у раду више секторских радних група формираних од стране Владе </w:t>
      </w:r>
      <w:r>
        <w:rPr>
          <w:rFonts w:ascii="Times New Roman" w:hAnsi="Times New Roman"/>
          <w:sz w:val="24"/>
          <w:szCs w:val="24"/>
          <w:lang w:val="sr-Cyrl-CS"/>
        </w:rPr>
        <w:t xml:space="preserve">Републике </w:t>
      </w:r>
      <w:r w:rsidRPr="0064034A">
        <w:rPr>
          <w:rFonts w:ascii="Times New Roman" w:hAnsi="Times New Roman"/>
          <w:sz w:val="24"/>
          <w:szCs w:val="24"/>
        </w:rPr>
        <w:t xml:space="preserve">Србије, како би пружили помоћ у примени </w:t>
      </w:r>
      <w:r>
        <w:rPr>
          <w:rFonts w:ascii="Times New Roman" w:hAnsi="Times New Roman"/>
          <w:sz w:val="24"/>
          <w:szCs w:val="24"/>
          <w:lang w:val="sr-Cyrl-CS"/>
        </w:rPr>
        <w:t>Закона</w:t>
      </w:r>
      <w:r w:rsidRPr="0064034A">
        <w:rPr>
          <w:rFonts w:ascii="Times New Roman" w:hAnsi="Times New Roman"/>
          <w:sz w:val="24"/>
          <w:szCs w:val="24"/>
        </w:rPr>
        <w:t xml:space="preserve"> у следећим областима: енергетици, саобраћају, здравству, просвети и култури. </w:t>
      </w:r>
    </w:p>
    <w:p w:rsidR="00BF3283" w:rsidRPr="0064034A" w:rsidRDefault="00BF3283" w:rsidP="00BF3283">
      <w:pPr>
        <w:jc w:val="both"/>
        <w:rPr>
          <w:rFonts w:ascii="Times New Roman" w:hAnsi="Times New Roman"/>
          <w:sz w:val="24"/>
          <w:szCs w:val="24"/>
        </w:rPr>
      </w:pPr>
      <w:r>
        <w:rPr>
          <w:rFonts w:ascii="Times New Roman" w:hAnsi="Times New Roman"/>
          <w:sz w:val="24"/>
          <w:szCs w:val="24"/>
          <w:lang w:val="sr-Cyrl-CS"/>
        </w:rPr>
        <w:t>Управа</w:t>
      </w:r>
      <w:r w:rsidRPr="0064034A">
        <w:rPr>
          <w:rFonts w:ascii="Times New Roman" w:hAnsi="Times New Roman"/>
          <w:sz w:val="24"/>
          <w:szCs w:val="24"/>
        </w:rPr>
        <w:t xml:space="preserve"> је пружала стручну помоћ Првом основном јавном тужилаштву у Београду, Републичком јавном тужилаштву, као и полицији током истражних поступака које су водили, у делу злоупотреба везаних за примену </w:t>
      </w:r>
      <w:r w:rsidR="000125A8">
        <w:rPr>
          <w:rFonts w:ascii="Times New Roman" w:hAnsi="Times New Roman"/>
          <w:sz w:val="24"/>
          <w:szCs w:val="24"/>
          <w:lang w:val="sr-Cyrl-RS"/>
        </w:rPr>
        <w:t>Закона</w:t>
      </w:r>
      <w:r w:rsidRPr="0064034A">
        <w:rPr>
          <w:rFonts w:ascii="Times New Roman" w:hAnsi="Times New Roman"/>
          <w:sz w:val="24"/>
          <w:szCs w:val="24"/>
        </w:rPr>
        <w:t xml:space="preserve">. </w:t>
      </w:r>
    </w:p>
    <w:p w:rsidR="00BF3283" w:rsidRPr="0064034A" w:rsidRDefault="00BF3283" w:rsidP="00BF3283">
      <w:pPr>
        <w:jc w:val="both"/>
        <w:rPr>
          <w:rFonts w:ascii="Times New Roman" w:hAnsi="Times New Roman"/>
          <w:sz w:val="24"/>
          <w:szCs w:val="24"/>
        </w:rPr>
      </w:pPr>
      <w:r w:rsidRPr="0064034A">
        <w:rPr>
          <w:rFonts w:ascii="Times New Roman" w:hAnsi="Times New Roman"/>
          <w:sz w:val="24"/>
          <w:szCs w:val="24"/>
        </w:rPr>
        <w:t xml:space="preserve">Управа </w:t>
      </w:r>
      <w:r>
        <w:rPr>
          <w:rFonts w:ascii="Times New Roman" w:hAnsi="Times New Roman"/>
          <w:sz w:val="24"/>
          <w:szCs w:val="24"/>
          <w:lang w:val="sr-Cyrl-CS"/>
        </w:rPr>
        <w:t>је</w:t>
      </w:r>
      <w:r w:rsidRPr="0064034A">
        <w:rPr>
          <w:rFonts w:ascii="Times New Roman" w:hAnsi="Times New Roman"/>
          <w:sz w:val="24"/>
          <w:szCs w:val="24"/>
        </w:rPr>
        <w:t xml:space="preserve"> остварила </w:t>
      </w:r>
      <w:r>
        <w:rPr>
          <w:rFonts w:ascii="Times New Roman" w:hAnsi="Times New Roman"/>
          <w:sz w:val="24"/>
          <w:szCs w:val="24"/>
          <w:lang w:val="sr-Cyrl-CS"/>
        </w:rPr>
        <w:t>и</w:t>
      </w:r>
      <w:r>
        <w:rPr>
          <w:rFonts w:ascii="Times New Roman" w:hAnsi="Times New Roman"/>
          <w:sz w:val="24"/>
          <w:szCs w:val="24"/>
        </w:rPr>
        <w:t xml:space="preserve"> </w:t>
      </w:r>
      <w:r>
        <w:rPr>
          <w:rFonts w:ascii="Times New Roman" w:hAnsi="Times New Roman"/>
          <w:sz w:val="24"/>
          <w:szCs w:val="24"/>
          <w:lang w:val="sr-Cyrl-CS"/>
        </w:rPr>
        <w:t>интензивну</w:t>
      </w:r>
      <w:r w:rsidRPr="0064034A">
        <w:rPr>
          <w:rFonts w:ascii="Times New Roman" w:hAnsi="Times New Roman"/>
          <w:sz w:val="24"/>
          <w:szCs w:val="24"/>
        </w:rPr>
        <w:t xml:space="preserve"> сарадњу са Републичком комисијом за заштиту прав</w:t>
      </w:r>
      <w:r w:rsidR="00706295">
        <w:rPr>
          <w:rFonts w:ascii="Times New Roman" w:hAnsi="Times New Roman"/>
          <w:sz w:val="24"/>
          <w:szCs w:val="24"/>
        </w:rPr>
        <w:t>а у поступцима јавних набавки,</w:t>
      </w:r>
      <w:r w:rsidR="00706295">
        <w:rPr>
          <w:rFonts w:ascii="Times New Roman" w:hAnsi="Times New Roman"/>
          <w:sz w:val="24"/>
          <w:szCs w:val="24"/>
          <w:lang w:val="sr-Cyrl-RS"/>
        </w:rPr>
        <w:t xml:space="preserve"> </w:t>
      </w:r>
      <w:r w:rsidR="00706295" w:rsidRPr="007B4B66">
        <w:rPr>
          <w:rFonts w:ascii="Times New Roman" w:hAnsi="Times New Roman" w:cs="Times New Roman"/>
          <w:sz w:val="24"/>
          <w:szCs w:val="24"/>
        </w:rPr>
        <w:t>ДРИ</w:t>
      </w:r>
      <w:r w:rsidRPr="0064034A">
        <w:rPr>
          <w:rFonts w:ascii="Times New Roman" w:hAnsi="Times New Roman"/>
          <w:sz w:val="24"/>
          <w:szCs w:val="24"/>
        </w:rPr>
        <w:t>, Агенцијом за борбу против корупције, Ком</w:t>
      </w:r>
      <w:r>
        <w:rPr>
          <w:rFonts w:ascii="Times New Roman" w:hAnsi="Times New Roman"/>
          <w:sz w:val="24"/>
          <w:szCs w:val="24"/>
        </w:rPr>
        <w:t>исијом за заштиту конкуренције</w:t>
      </w:r>
      <w:r>
        <w:rPr>
          <w:rFonts w:ascii="Times New Roman" w:hAnsi="Times New Roman"/>
          <w:sz w:val="24"/>
          <w:szCs w:val="24"/>
          <w:lang w:val="sr-Cyrl-CS"/>
        </w:rPr>
        <w:t xml:space="preserve">, пре свега </w:t>
      </w:r>
      <w:r w:rsidRPr="0064034A">
        <w:rPr>
          <w:rFonts w:ascii="Times New Roman" w:hAnsi="Times New Roman"/>
          <w:sz w:val="24"/>
          <w:szCs w:val="24"/>
        </w:rPr>
        <w:t xml:space="preserve">кроз редовну комуникацију у циљу усклађивања ставова, као и </w:t>
      </w:r>
      <w:r>
        <w:rPr>
          <w:rFonts w:ascii="Times New Roman" w:hAnsi="Times New Roman"/>
          <w:sz w:val="24"/>
          <w:szCs w:val="24"/>
          <w:lang w:val="sr-Cyrl-CS"/>
        </w:rPr>
        <w:t xml:space="preserve">кроз </w:t>
      </w:r>
      <w:r>
        <w:rPr>
          <w:rFonts w:ascii="Times New Roman" w:hAnsi="Times New Roman"/>
          <w:sz w:val="24"/>
          <w:szCs w:val="24"/>
        </w:rPr>
        <w:t>периодич</w:t>
      </w:r>
      <w:r>
        <w:rPr>
          <w:rFonts w:ascii="Times New Roman" w:hAnsi="Times New Roman"/>
          <w:sz w:val="24"/>
          <w:szCs w:val="24"/>
          <w:lang w:val="sr-Cyrl-CS"/>
        </w:rPr>
        <w:t>не</w:t>
      </w:r>
      <w:r>
        <w:rPr>
          <w:rFonts w:ascii="Times New Roman" w:hAnsi="Times New Roman"/>
          <w:sz w:val="24"/>
          <w:szCs w:val="24"/>
        </w:rPr>
        <w:t xml:space="preserve"> радиониц</w:t>
      </w:r>
      <w:r>
        <w:rPr>
          <w:rFonts w:ascii="Times New Roman" w:hAnsi="Times New Roman"/>
          <w:sz w:val="24"/>
          <w:szCs w:val="24"/>
          <w:lang w:val="sr-Cyrl-CS"/>
        </w:rPr>
        <w:t>е</w:t>
      </w:r>
      <w:r w:rsidRPr="0064034A">
        <w:rPr>
          <w:rFonts w:ascii="Times New Roman" w:hAnsi="Times New Roman"/>
          <w:sz w:val="24"/>
          <w:szCs w:val="24"/>
        </w:rPr>
        <w:t xml:space="preserve"> на којима се дискутуј</w:t>
      </w:r>
      <w:r>
        <w:rPr>
          <w:rFonts w:ascii="Times New Roman" w:hAnsi="Times New Roman"/>
          <w:sz w:val="24"/>
          <w:szCs w:val="24"/>
          <w:lang w:val="sr-Cyrl-CS"/>
        </w:rPr>
        <w:t>е о</w:t>
      </w:r>
      <w:r w:rsidRPr="0064034A">
        <w:rPr>
          <w:rFonts w:ascii="Times New Roman" w:hAnsi="Times New Roman"/>
          <w:sz w:val="24"/>
          <w:szCs w:val="24"/>
        </w:rPr>
        <w:t xml:space="preserve"> системск</w:t>
      </w:r>
      <w:r>
        <w:rPr>
          <w:rFonts w:ascii="Times New Roman" w:hAnsi="Times New Roman"/>
          <w:sz w:val="24"/>
          <w:szCs w:val="24"/>
          <w:lang w:val="sr-Cyrl-CS"/>
        </w:rPr>
        <w:t>им</w:t>
      </w:r>
      <w:r>
        <w:rPr>
          <w:rFonts w:ascii="Times New Roman" w:hAnsi="Times New Roman"/>
          <w:sz w:val="24"/>
          <w:szCs w:val="24"/>
        </w:rPr>
        <w:t xml:space="preserve"> питањ</w:t>
      </w:r>
      <w:r>
        <w:rPr>
          <w:rFonts w:ascii="Times New Roman" w:hAnsi="Times New Roman"/>
          <w:sz w:val="24"/>
          <w:szCs w:val="24"/>
          <w:lang w:val="sr-Cyrl-CS"/>
        </w:rPr>
        <w:t>има</w:t>
      </w:r>
      <w:r w:rsidRPr="0064034A">
        <w:rPr>
          <w:rFonts w:ascii="Times New Roman" w:hAnsi="Times New Roman"/>
          <w:sz w:val="24"/>
          <w:szCs w:val="24"/>
        </w:rPr>
        <w:t xml:space="preserve"> у области јавних набавки. </w:t>
      </w:r>
    </w:p>
    <w:p w:rsidR="00BF3283" w:rsidRPr="005A657A" w:rsidRDefault="00BF3283" w:rsidP="00BF3283">
      <w:pPr>
        <w:jc w:val="both"/>
        <w:rPr>
          <w:rFonts w:ascii="Times New Roman" w:hAnsi="Times New Roman"/>
          <w:sz w:val="24"/>
          <w:szCs w:val="24"/>
          <w:lang w:val="sr-Cyrl-CS"/>
        </w:rPr>
      </w:pPr>
      <w:r w:rsidRPr="0064034A">
        <w:rPr>
          <w:rFonts w:ascii="Times New Roman" w:hAnsi="Times New Roman"/>
          <w:sz w:val="24"/>
          <w:szCs w:val="24"/>
        </w:rPr>
        <w:t>У сарадњи са Правосудном академијом, судије Прекршај</w:t>
      </w:r>
      <w:r w:rsidR="00D95968">
        <w:rPr>
          <w:rFonts w:ascii="Times New Roman" w:hAnsi="Times New Roman"/>
          <w:sz w:val="24"/>
          <w:szCs w:val="24"/>
        </w:rPr>
        <w:t>ног апелационог суда представил</w:t>
      </w:r>
      <w:r w:rsidR="00D95968">
        <w:rPr>
          <w:rFonts w:ascii="Times New Roman" w:hAnsi="Times New Roman"/>
          <w:sz w:val="24"/>
          <w:szCs w:val="24"/>
          <w:lang w:val="sr-Cyrl-RS"/>
        </w:rPr>
        <w:t>е</w:t>
      </w:r>
      <w:r w:rsidRPr="0064034A">
        <w:rPr>
          <w:rFonts w:ascii="Times New Roman" w:hAnsi="Times New Roman"/>
          <w:sz w:val="24"/>
          <w:szCs w:val="24"/>
        </w:rPr>
        <w:t xml:space="preserve"> су </w:t>
      </w:r>
      <w:r w:rsidR="00D95968">
        <w:rPr>
          <w:rFonts w:ascii="Times New Roman" w:hAnsi="Times New Roman"/>
          <w:sz w:val="24"/>
          <w:szCs w:val="24"/>
          <w:lang w:val="sr-Cyrl-RS"/>
        </w:rPr>
        <w:t xml:space="preserve"> колегама из </w:t>
      </w:r>
      <w:r w:rsidR="00D95968" w:rsidRPr="0064034A">
        <w:rPr>
          <w:rFonts w:ascii="Times New Roman" w:hAnsi="Times New Roman"/>
          <w:sz w:val="24"/>
          <w:szCs w:val="24"/>
        </w:rPr>
        <w:t>Управе и Републичке комисије за заштиту пр</w:t>
      </w:r>
      <w:r w:rsidR="00D95968">
        <w:rPr>
          <w:rFonts w:ascii="Times New Roman" w:hAnsi="Times New Roman"/>
          <w:sz w:val="24"/>
          <w:szCs w:val="24"/>
        </w:rPr>
        <w:t>ава у поступцима јавних набавки</w:t>
      </w:r>
      <w:r w:rsidR="00D95968" w:rsidRPr="0064034A">
        <w:rPr>
          <w:rFonts w:ascii="Times New Roman" w:hAnsi="Times New Roman"/>
          <w:sz w:val="24"/>
          <w:szCs w:val="24"/>
        </w:rPr>
        <w:t xml:space="preserve"> </w:t>
      </w:r>
      <w:r w:rsidRPr="0064034A">
        <w:rPr>
          <w:rFonts w:ascii="Times New Roman" w:hAnsi="Times New Roman"/>
          <w:sz w:val="24"/>
          <w:szCs w:val="24"/>
        </w:rPr>
        <w:t xml:space="preserve">своје правне ставове у вези </w:t>
      </w:r>
      <w:r>
        <w:rPr>
          <w:rFonts w:ascii="Times New Roman" w:hAnsi="Times New Roman"/>
          <w:sz w:val="24"/>
          <w:szCs w:val="24"/>
          <w:lang w:val="sr-Cyrl-CS"/>
        </w:rPr>
        <w:t xml:space="preserve">са </w:t>
      </w:r>
      <w:r w:rsidRPr="0064034A">
        <w:rPr>
          <w:rFonts w:ascii="Times New Roman" w:hAnsi="Times New Roman"/>
          <w:sz w:val="24"/>
          <w:szCs w:val="24"/>
        </w:rPr>
        <w:t>Закон</w:t>
      </w:r>
      <w:r>
        <w:rPr>
          <w:rFonts w:ascii="Times New Roman" w:hAnsi="Times New Roman"/>
          <w:sz w:val="24"/>
          <w:szCs w:val="24"/>
          <w:lang w:val="sr-Cyrl-CS"/>
        </w:rPr>
        <w:t>ом</w:t>
      </w:r>
      <w:r w:rsidRPr="0064034A">
        <w:rPr>
          <w:rFonts w:ascii="Times New Roman" w:hAnsi="Times New Roman"/>
          <w:sz w:val="24"/>
          <w:szCs w:val="24"/>
        </w:rPr>
        <w:t xml:space="preserve"> о прекрш</w:t>
      </w:r>
      <w:r>
        <w:rPr>
          <w:rFonts w:ascii="Times New Roman" w:hAnsi="Times New Roman"/>
          <w:sz w:val="24"/>
          <w:szCs w:val="24"/>
        </w:rPr>
        <w:t>ајима</w:t>
      </w:r>
      <w:r>
        <w:rPr>
          <w:rFonts w:ascii="Times New Roman" w:hAnsi="Times New Roman"/>
          <w:sz w:val="24"/>
          <w:szCs w:val="24"/>
          <w:lang w:val="sr-Cyrl-RS"/>
        </w:rPr>
        <w:t xml:space="preserve">, чија </w:t>
      </w:r>
      <w:r w:rsidR="0001712E">
        <w:rPr>
          <w:rFonts w:ascii="Times New Roman" w:hAnsi="Times New Roman"/>
          <w:sz w:val="24"/>
          <w:szCs w:val="24"/>
          <w:lang w:val="sr-Cyrl-RS"/>
        </w:rPr>
        <w:t xml:space="preserve">се </w:t>
      </w:r>
      <w:r>
        <w:rPr>
          <w:rFonts w:ascii="Times New Roman" w:hAnsi="Times New Roman"/>
          <w:sz w:val="24"/>
          <w:szCs w:val="24"/>
          <w:lang w:val="sr-Cyrl-RS"/>
        </w:rPr>
        <w:t>примена у одређ</w:t>
      </w:r>
      <w:r w:rsidR="0001712E">
        <w:rPr>
          <w:rFonts w:ascii="Times New Roman" w:hAnsi="Times New Roman"/>
          <w:sz w:val="24"/>
          <w:szCs w:val="24"/>
          <w:lang w:val="sr-Cyrl-RS"/>
        </w:rPr>
        <w:t>е</w:t>
      </w:r>
      <w:r>
        <w:rPr>
          <w:rFonts w:ascii="Times New Roman" w:hAnsi="Times New Roman"/>
          <w:sz w:val="24"/>
          <w:szCs w:val="24"/>
          <w:lang w:val="sr-Cyrl-RS"/>
        </w:rPr>
        <w:t xml:space="preserve">ним сегментима </w:t>
      </w:r>
      <w:r w:rsidR="0001712E">
        <w:rPr>
          <w:rFonts w:ascii="Times New Roman" w:hAnsi="Times New Roman"/>
          <w:sz w:val="24"/>
          <w:szCs w:val="24"/>
          <w:lang w:val="sr-Cyrl-RS"/>
        </w:rPr>
        <w:t>односи и на</w:t>
      </w:r>
      <w:r>
        <w:rPr>
          <w:rFonts w:ascii="Times New Roman" w:hAnsi="Times New Roman"/>
          <w:sz w:val="24"/>
          <w:szCs w:val="24"/>
          <w:lang w:val="sr-Cyrl-RS"/>
        </w:rPr>
        <w:t xml:space="preserve"> </w:t>
      </w:r>
      <w:r w:rsidR="00424F44">
        <w:rPr>
          <w:rFonts w:ascii="Times New Roman" w:hAnsi="Times New Roman"/>
          <w:sz w:val="24"/>
          <w:szCs w:val="24"/>
          <w:lang w:val="sr-Cyrl-RS"/>
        </w:rPr>
        <w:t>Закон</w:t>
      </w:r>
      <w:r w:rsidR="00D95968">
        <w:rPr>
          <w:rFonts w:ascii="Times New Roman" w:hAnsi="Times New Roman"/>
          <w:sz w:val="24"/>
          <w:szCs w:val="24"/>
          <w:lang w:val="sr-Cyrl-RS"/>
        </w:rPr>
        <w:t xml:space="preserve"> о јавним набавкама. </w:t>
      </w:r>
      <w:r w:rsidRPr="0064034A">
        <w:rPr>
          <w:rFonts w:ascii="Times New Roman" w:hAnsi="Times New Roman"/>
          <w:sz w:val="24"/>
          <w:szCs w:val="24"/>
        </w:rPr>
        <w:t xml:space="preserve">Сарадња је настављена одржавањем семинара 12. јуна 2014. године на коме су представници </w:t>
      </w:r>
      <w:r>
        <w:rPr>
          <w:rFonts w:ascii="Times New Roman" w:hAnsi="Times New Roman"/>
          <w:sz w:val="24"/>
          <w:szCs w:val="24"/>
          <w:lang w:val="sr-Cyrl-CS"/>
        </w:rPr>
        <w:t>Управе</w:t>
      </w:r>
      <w:r>
        <w:rPr>
          <w:rFonts w:ascii="Times New Roman" w:hAnsi="Times New Roman"/>
          <w:sz w:val="24"/>
          <w:szCs w:val="24"/>
        </w:rPr>
        <w:t>,</w:t>
      </w:r>
      <w:r>
        <w:rPr>
          <w:rFonts w:ascii="Times New Roman" w:hAnsi="Times New Roman"/>
          <w:sz w:val="24"/>
          <w:szCs w:val="24"/>
          <w:lang w:val="sr-Cyrl-CS"/>
        </w:rPr>
        <w:t xml:space="preserve"> </w:t>
      </w:r>
      <w:r w:rsidRPr="0064034A">
        <w:rPr>
          <w:rFonts w:ascii="Times New Roman" w:hAnsi="Times New Roman"/>
          <w:sz w:val="24"/>
          <w:szCs w:val="24"/>
        </w:rPr>
        <w:t>Републичке комисије за заштиту права и</w:t>
      </w:r>
      <w:r>
        <w:rPr>
          <w:rFonts w:ascii="Times New Roman" w:hAnsi="Times New Roman"/>
          <w:sz w:val="24"/>
          <w:szCs w:val="24"/>
        </w:rPr>
        <w:t xml:space="preserve"> </w:t>
      </w:r>
      <w:r w:rsidR="00706295" w:rsidRPr="007B4B66">
        <w:rPr>
          <w:rFonts w:ascii="Times New Roman" w:hAnsi="Times New Roman" w:cs="Times New Roman"/>
          <w:sz w:val="24"/>
          <w:szCs w:val="24"/>
        </w:rPr>
        <w:t>ДРИ</w:t>
      </w:r>
      <w:r w:rsidR="00706295">
        <w:rPr>
          <w:rFonts w:ascii="Times New Roman" w:hAnsi="Times New Roman"/>
          <w:sz w:val="24"/>
          <w:szCs w:val="24"/>
          <w:lang w:val="sr-Cyrl-CS"/>
        </w:rPr>
        <w:t xml:space="preserve"> </w:t>
      </w:r>
      <w:r>
        <w:rPr>
          <w:rFonts w:ascii="Times New Roman" w:hAnsi="Times New Roman"/>
          <w:sz w:val="24"/>
          <w:szCs w:val="24"/>
          <w:lang w:val="sr-Cyrl-CS"/>
        </w:rPr>
        <w:t>изнели</w:t>
      </w:r>
      <w:r w:rsidRPr="0064034A">
        <w:rPr>
          <w:rFonts w:ascii="Times New Roman" w:hAnsi="Times New Roman"/>
          <w:sz w:val="24"/>
          <w:szCs w:val="24"/>
        </w:rPr>
        <w:t xml:space="preserve"> случајеве злоупотреба у области јавних набавки представницима Прекршајног апелационог суда, јавног тужилаштва и основних судова. </w:t>
      </w:r>
    </w:p>
    <w:p w:rsidR="00BF3283" w:rsidRPr="00593C1D" w:rsidRDefault="00BF3283" w:rsidP="00BF3283">
      <w:pPr>
        <w:jc w:val="both"/>
        <w:rPr>
          <w:rFonts w:ascii="Times New Roman" w:hAnsi="Times New Roman"/>
          <w:b/>
          <w:sz w:val="24"/>
          <w:szCs w:val="24"/>
          <w:lang w:val="sr-Cyrl-RS"/>
        </w:rPr>
      </w:pPr>
      <w:r w:rsidRPr="00593C1D">
        <w:rPr>
          <w:rFonts w:ascii="Times New Roman" w:hAnsi="Times New Roman"/>
          <w:b/>
          <w:sz w:val="24"/>
          <w:szCs w:val="24"/>
          <w:lang w:val="sr-Cyrl-RS"/>
        </w:rPr>
        <w:t xml:space="preserve">Међународна сарадња </w:t>
      </w:r>
    </w:p>
    <w:p w:rsidR="00BF3283" w:rsidRPr="00593C1D" w:rsidRDefault="00BF3283" w:rsidP="00BF3283">
      <w:pPr>
        <w:jc w:val="both"/>
        <w:rPr>
          <w:rFonts w:ascii="Times New Roman" w:hAnsi="Times New Roman"/>
          <w:sz w:val="24"/>
          <w:szCs w:val="24"/>
          <w:lang w:val="sr-Cyrl-RS"/>
        </w:rPr>
      </w:pPr>
      <w:r w:rsidRPr="00593C1D">
        <w:rPr>
          <w:rFonts w:ascii="Times New Roman" w:hAnsi="Times New Roman"/>
          <w:sz w:val="24"/>
          <w:szCs w:val="24"/>
          <w:lang w:val="sr-Cyrl-RS"/>
        </w:rPr>
        <w:t>У августу 2014</w:t>
      </w:r>
      <w:r w:rsidR="00B94990">
        <w:rPr>
          <w:rFonts w:ascii="Times New Roman" w:hAnsi="Times New Roman"/>
          <w:sz w:val="24"/>
          <w:szCs w:val="24"/>
          <w:lang w:val="sr-Cyrl-RS"/>
        </w:rPr>
        <w:t>.</w:t>
      </w:r>
      <w:r>
        <w:rPr>
          <w:rFonts w:ascii="Times New Roman" w:hAnsi="Times New Roman"/>
          <w:sz w:val="24"/>
          <w:szCs w:val="24"/>
          <w:lang w:val="sr-Cyrl-RS"/>
        </w:rPr>
        <w:t xml:space="preserve"> године</w:t>
      </w:r>
      <w:r w:rsidRPr="00593C1D">
        <w:rPr>
          <w:rFonts w:ascii="Times New Roman" w:hAnsi="Times New Roman"/>
          <w:sz w:val="24"/>
          <w:szCs w:val="24"/>
        </w:rPr>
        <w:t xml:space="preserve">, </w:t>
      </w:r>
      <w:r w:rsidRPr="00593C1D">
        <w:rPr>
          <w:rFonts w:ascii="Times New Roman" w:hAnsi="Times New Roman"/>
          <w:sz w:val="24"/>
          <w:szCs w:val="24"/>
          <w:lang w:val="sr-Cyrl-RS"/>
        </w:rPr>
        <w:t>одржан је експертски семинар</w:t>
      </w:r>
      <w:r w:rsidRPr="00593C1D">
        <w:rPr>
          <w:rFonts w:ascii="Times New Roman" w:hAnsi="Times New Roman"/>
          <w:sz w:val="24"/>
          <w:szCs w:val="24"/>
        </w:rPr>
        <w:t>: “E</w:t>
      </w:r>
      <w:r w:rsidRPr="00593C1D">
        <w:rPr>
          <w:rFonts w:ascii="Times New Roman" w:hAnsi="Times New Roman"/>
          <w:sz w:val="24"/>
          <w:szCs w:val="24"/>
          <w:lang w:val="sr-Cyrl-RS"/>
        </w:rPr>
        <w:t>фективност законодавства ЕУ</w:t>
      </w:r>
      <w:r w:rsidRPr="00593C1D">
        <w:rPr>
          <w:rFonts w:ascii="Times New Roman" w:hAnsi="Times New Roman"/>
          <w:sz w:val="24"/>
          <w:szCs w:val="24"/>
        </w:rPr>
        <w:t xml:space="preserve"> </w:t>
      </w:r>
      <w:r w:rsidRPr="00593C1D">
        <w:rPr>
          <w:rFonts w:ascii="Times New Roman" w:hAnsi="Times New Roman"/>
          <w:sz w:val="24"/>
          <w:szCs w:val="24"/>
          <w:lang w:val="sr-Cyrl-RS"/>
        </w:rPr>
        <w:t>у националним правним системима</w:t>
      </w:r>
      <w:r w:rsidRPr="00593C1D">
        <w:rPr>
          <w:rFonts w:ascii="Times New Roman" w:hAnsi="Times New Roman"/>
          <w:sz w:val="24"/>
          <w:szCs w:val="24"/>
        </w:rPr>
        <w:t xml:space="preserve"> </w:t>
      </w:r>
      <w:r w:rsidRPr="00593C1D">
        <w:rPr>
          <w:rFonts w:ascii="Times New Roman" w:hAnsi="Times New Roman"/>
          <w:sz w:val="24"/>
          <w:szCs w:val="24"/>
          <w:lang w:val="sr-Cyrl-RS"/>
        </w:rPr>
        <w:t xml:space="preserve">у светлу система јавних набавки и јавних набавки за јавна </w:t>
      </w:r>
      <w:r w:rsidRPr="001277E5">
        <w:rPr>
          <w:rFonts w:ascii="Times New Roman" w:hAnsi="Times New Roman"/>
          <w:sz w:val="24"/>
          <w:szCs w:val="24"/>
          <w:lang w:val="sr-Cyrl-RS"/>
        </w:rPr>
        <w:t>предузећа</w:t>
      </w:r>
      <w:r w:rsidRPr="001277E5">
        <w:rPr>
          <w:rFonts w:ascii="Times New Roman" w:hAnsi="Times New Roman"/>
          <w:sz w:val="24"/>
          <w:szCs w:val="24"/>
        </w:rPr>
        <w:t xml:space="preserve"> ”</w:t>
      </w:r>
      <w:r w:rsidRPr="001277E5">
        <w:rPr>
          <w:rFonts w:ascii="Times New Roman" w:hAnsi="Times New Roman"/>
          <w:sz w:val="24"/>
          <w:szCs w:val="24"/>
          <w:lang w:val="sr-Cyrl-RS"/>
        </w:rPr>
        <w:t xml:space="preserve">. Семинар су организовали  </w:t>
      </w:r>
      <w:r w:rsidR="000C4350">
        <w:rPr>
          <w:rFonts w:ascii="Times New Roman" w:hAnsi="Times New Roman"/>
          <w:sz w:val="24"/>
          <w:szCs w:val="24"/>
          <w:lang w:val="sr-Cyrl-RS"/>
        </w:rPr>
        <w:t>У</w:t>
      </w:r>
      <w:r>
        <w:rPr>
          <w:rFonts w:ascii="Times New Roman" w:hAnsi="Times New Roman"/>
          <w:sz w:val="24"/>
          <w:szCs w:val="24"/>
          <w:lang w:val="sr-Cyrl-RS"/>
        </w:rPr>
        <w:t>права</w:t>
      </w:r>
      <w:r w:rsidRPr="001277E5">
        <w:rPr>
          <w:rFonts w:ascii="Times New Roman" w:hAnsi="Times New Roman"/>
          <w:sz w:val="24"/>
          <w:szCs w:val="24"/>
          <w:lang w:val="sr-Cyrl-RS"/>
        </w:rPr>
        <w:t>, Републичка комисија за заштиту права у поступцима јавних набавки</w:t>
      </w:r>
      <w:r>
        <w:rPr>
          <w:rFonts w:ascii="Times New Roman" w:hAnsi="Times New Roman"/>
          <w:sz w:val="24"/>
          <w:szCs w:val="24"/>
          <w:lang w:val="sr-Cyrl-CS"/>
        </w:rPr>
        <w:t xml:space="preserve"> и </w:t>
      </w:r>
      <w:r w:rsidRPr="001277E5">
        <w:rPr>
          <w:rFonts w:ascii="Times New Roman" w:hAnsi="Times New Roman"/>
          <w:sz w:val="24"/>
          <w:szCs w:val="24"/>
          <w:lang w:val="sr-Cyrl-RS"/>
        </w:rPr>
        <w:t>ДРИ, уз подршку ОЕБС-а.</w:t>
      </w:r>
    </w:p>
    <w:p w:rsidR="00BF3283" w:rsidRPr="00593C1D" w:rsidRDefault="00BF3283" w:rsidP="00BF3283">
      <w:pPr>
        <w:jc w:val="both"/>
        <w:rPr>
          <w:rFonts w:ascii="Times New Roman" w:hAnsi="Times New Roman"/>
          <w:sz w:val="24"/>
          <w:szCs w:val="24"/>
          <w:lang w:val="sr-Cyrl-RS"/>
        </w:rPr>
      </w:pPr>
      <w:r w:rsidRPr="00593C1D">
        <w:rPr>
          <w:rFonts w:ascii="Times New Roman" w:hAnsi="Times New Roman"/>
          <w:sz w:val="24"/>
          <w:szCs w:val="24"/>
          <w:lang w:val="sr-Cyrl-RS"/>
        </w:rPr>
        <w:t>У јулу 2014</w:t>
      </w:r>
      <w:r>
        <w:rPr>
          <w:rFonts w:ascii="Times New Roman" w:hAnsi="Times New Roman"/>
          <w:sz w:val="24"/>
          <w:szCs w:val="24"/>
          <w:lang w:val="sr-Cyrl-RS"/>
        </w:rPr>
        <w:t>. године</w:t>
      </w:r>
      <w:r w:rsidRPr="00593C1D">
        <w:rPr>
          <w:rFonts w:ascii="Times New Roman" w:hAnsi="Times New Roman"/>
          <w:sz w:val="24"/>
          <w:szCs w:val="24"/>
        </w:rPr>
        <w:t xml:space="preserve">, </w:t>
      </w:r>
      <w:r w:rsidRPr="00593C1D">
        <w:rPr>
          <w:rFonts w:ascii="Times New Roman" w:hAnsi="Times New Roman"/>
          <w:sz w:val="24"/>
          <w:szCs w:val="24"/>
          <w:lang w:val="sr-Cyrl-RS"/>
        </w:rPr>
        <w:t xml:space="preserve">представници </w:t>
      </w:r>
      <w:r>
        <w:rPr>
          <w:rFonts w:ascii="Times New Roman" w:hAnsi="Times New Roman"/>
          <w:sz w:val="24"/>
          <w:szCs w:val="24"/>
          <w:lang w:val="sr-Cyrl-RS"/>
        </w:rPr>
        <w:t>Управе</w:t>
      </w:r>
      <w:r w:rsidRPr="00593C1D">
        <w:rPr>
          <w:rFonts w:ascii="Times New Roman" w:hAnsi="Times New Roman"/>
          <w:sz w:val="24"/>
          <w:szCs w:val="24"/>
          <w:lang w:val="sr-Cyrl-RS"/>
        </w:rPr>
        <w:t xml:space="preserve"> и</w:t>
      </w:r>
      <w:r w:rsidRPr="00593C1D">
        <w:rPr>
          <w:rFonts w:ascii="Times New Roman" w:hAnsi="Times New Roman"/>
          <w:sz w:val="24"/>
          <w:szCs w:val="24"/>
        </w:rPr>
        <w:t xml:space="preserve"> </w:t>
      </w:r>
      <w:r w:rsidRPr="00593C1D">
        <w:rPr>
          <w:rFonts w:ascii="Times New Roman" w:hAnsi="Times New Roman"/>
          <w:sz w:val="24"/>
          <w:szCs w:val="24"/>
          <w:lang w:val="sr-Cyrl-RS"/>
        </w:rPr>
        <w:t xml:space="preserve">Републичке </w:t>
      </w:r>
      <w:r w:rsidRPr="001277E5">
        <w:rPr>
          <w:rFonts w:ascii="Times New Roman" w:hAnsi="Times New Roman"/>
          <w:sz w:val="24"/>
          <w:szCs w:val="24"/>
          <w:lang w:val="sr-Cyrl-RS"/>
        </w:rPr>
        <w:t>комисије за заштиту права у поступцима јавних набавки похађали су дводневни семинар обуке посвећен контроли у јавним набавкама</w:t>
      </w:r>
      <w:r w:rsidRPr="001277E5">
        <w:rPr>
          <w:rFonts w:ascii="Times New Roman" w:hAnsi="Times New Roman"/>
          <w:sz w:val="24"/>
          <w:szCs w:val="24"/>
        </w:rPr>
        <w:t>, o</w:t>
      </w:r>
      <w:r w:rsidRPr="001277E5">
        <w:rPr>
          <w:rFonts w:ascii="Times New Roman" w:hAnsi="Times New Roman"/>
          <w:sz w:val="24"/>
          <w:szCs w:val="24"/>
          <w:lang w:val="sr-Cyrl-RS"/>
        </w:rPr>
        <w:t>рганизован од стране Европске канцеларије за борбу против проневера</w:t>
      </w:r>
      <w:r w:rsidRPr="001277E5">
        <w:rPr>
          <w:rFonts w:ascii="Times New Roman" w:hAnsi="Times New Roman"/>
          <w:sz w:val="24"/>
          <w:szCs w:val="24"/>
        </w:rPr>
        <w:t xml:space="preserve"> (O</w:t>
      </w:r>
      <w:r w:rsidRPr="001277E5">
        <w:rPr>
          <w:rFonts w:ascii="Times New Roman" w:hAnsi="Times New Roman"/>
          <w:sz w:val="24"/>
          <w:szCs w:val="24"/>
          <w:lang w:val="sr-Cyrl-RS"/>
        </w:rPr>
        <w:t>ЛАФ</w:t>
      </w:r>
      <w:r w:rsidRPr="001277E5">
        <w:rPr>
          <w:rFonts w:ascii="Times New Roman" w:hAnsi="Times New Roman"/>
          <w:sz w:val="24"/>
          <w:szCs w:val="24"/>
        </w:rPr>
        <w:t xml:space="preserve">) </w:t>
      </w:r>
      <w:r w:rsidRPr="001277E5">
        <w:rPr>
          <w:rFonts w:ascii="Times New Roman" w:hAnsi="Times New Roman"/>
          <w:sz w:val="24"/>
          <w:szCs w:val="24"/>
          <w:lang w:val="sr-Cyrl-RS"/>
        </w:rPr>
        <w:t>у оквиру</w:t>
      </w:r>
      <w:r w:rsidRPr="001277E5">
        <w:rPr>
          <w:rFonts w:ascii="Times New Roman" w:hAnsi="Times New Roman"/>
          <w:sz w:val="24"/>
          <w:szCs w:val="24"/>
        </w:rPr>
        <w:t xml:space="preserve"> </w:t>
      </w:r>
      <w:r w:rsidRPr="001277E5">
        <w:rPr>
          <w:rFonts w:ascii="Times New Roman" w:hAnsi="Times New Roman"/>
          <w:sz w:val="24"/>
          <w:szCs w:val="24"/>
          <w:lang w:val="sr-Cyrl-RS"/>
        </w:rPr>
        <w:t>Херкул</w:t>
      </w:r>
      <w:r w:rsidRPr="001277E5">
        <w:rPr>
          <w:rFonts w:ascii="Times New Roman" w:hAnsi="Times New Roman"/>
          <w:sz w:val="24"/>
          <w:szCs w:val="24"/>
        </w:rPr>
        <w:t xml:space="preserve"> </w:t>
      </w:r>
      <w:r w:rsidRPr="001277E5">
        <w:rPr>
          <w:rFonts w:ascii="Times New Roman" w:hAnsi="Times New Roman"/>
          <w:sz w:val="24"/>
          <w:szCs w:val="24"/>
          <w:lang w:val="sr-Cyrl-RS"/>
        </w:rPr>
        <w:t>2 програма који финансира Европска комисија.</w:t>
      </w:r>
    </w:p>
    <w:p w:rsidR="00BF3283" w:rsidRPr="00593C1D" w:rsidRDefault="00BF3283" w:rsidP="00BF3283">
      <w:pPr>
        <w:jc w:val="both"/>
        <w:rPr>
          <w:rFonts w:ascii="Times New Roman" w:hAnsi="Times New Roman"/>
          <w:sz w:val="24"/>
          <w:szCs w:val="24"/>
          <w:lang w:val="sr-Cyrl-RS"/>
        </w:rPr>
      </w:pPr>
      <w:r>
        <w:rPr>
          <w:rFonts w:ascii="Times New Roman" w:hAnsi="Times New Roman"/>
          <w:sz w:val="24"/>
          <w:szCs w:val="24"/>
          <w:lang w:val="sr-Cyrl-RS"/>
        </w:rPr>
        <w:t xml:space="preserve">У оквиру редовне </w:t>
      </w:r>
      <w:r w:rsidRPr="00593C1D">
        <w:rPr>
          <w:rFonts w:ascii="Times New Roman" w:hAnsi="Times New Roman"/>
          <w:sz w:val="24"/>
          <w:szCs w:val="24"/>
          <w:lang w:val="sr-Cyrl-RS"/>
        </w:rPr>
        <w:t>сарадње са страним институцијама и експертима у области јавних набавки</w:t>
      </w:r>
      <w:r w:rsidRPr="00593C1D">
        <w:rPr>
          <w:rFonts w:ascii="Times New Roman" w:hAnsi="Times New Roman"/>
          <w:sz w:val="24"/>
          <w:szCs w:val="24"/>
        </w:rPr>
        <w:t xml:space="preserve">, </w:t>
      </w:r>
      <w:r w:rsidRPr="00593C1D">
        <w:rPr>
          <w:rFonts w:ascii="Times New Roman" w:hAnsi="Times New Roman"/>
          <w:sz w:val="24"/>
          <w:szCs w:val="24"/>
          <w:lang w:val="sr-Cyrl-RS"/>
        </w:rPr>
        <w:t>4</w:t>
      </w:r>
      <w:r>
        <w:rPr>
          <w:rFonts w:ascii="Times New Roman" w:hAnsi="Times New Roman"/>
          <w:sz w:val="24"/>
          <w:szCs w:val="24"/>
          <w:lang w:val="sr-Cyrl-RS"/>
        </w:rPr>
        <w:t>.</w:t>
      </w:r>
      <w:r w:rsidRPr="00593C1D">
        <w:rPr>
          <w:rFonts w:ascii="Times New Roman" w:hAnsi="Times New Roman"/>
          <w:sz w:val="24"/>
          <w:szCs w:val="24"/>
          <w:lang w:val="sr-Cyrl-RS"/>
        </w:rPr>
        <w:t xml:space="preserve"> јуна</w:t>
      </w:r>
      <w:r w:rsidRPr="00593C1D">
        <w:rPr>
          <w:rFonts w:ascii="Times New Roman" w:hAnsi="Times New Roman"/>
          <w:sz w:val="24"/>
          <w:szCs w:val="24"/>
        </w:rPr>
        <w:t>, 2014</w:t>
      </w:r>
      <w:r>
        <w:rPr>
          <w:rFonts w:ascii="Times New Roman" w:hAnsi="Times New Roman"/>
          <w:sz w:val="24"/>
          <w:szCs w:val="24"/>
          <w:lang w:val="sr-Cyrl-CS"/>
        </w:rPr>
        <w:t>. године</w:t>
      </w:r>
      <w:r w:rsidRPr="00593C1D">
        <w:rPr>
          <w:rFonts w:ascii="Times New Roman" w:hAnsi="Times New Roman"/>
          <w:sz w:val="24"/>
          <w:szCs w:val="24"/>
        </w:rPr>
        <w:t>, представници Државне комисије за жалбе у јавним н</w:t>
      </w:r>
      <w:r w:rsidRPr="00593C1D">
        <w:rPr>
          <w:rFonts w:ascii="Times New Roman" w:hAnsi="Times New Roman"/>
          <w:sz w:val="24"/>
          <w:szCs w:val="24"/>
          <w:lang w:val="sr-Cyrl-RS"/>
        </w:rPr>
        <w:t>абавкама</w:t>
      </w:r>
      <w:r w:rsidRPr="00593C1D">
        <w:rPr>
          <w:rFonts w:ascii="Times New Roman" w:hAnsi="Times New Roman"/>
          <w:sz w:val="24"/>
          <w:szCs w:val="24"/>
        </w:rPr>
        <w:t xml:space="preserve"> </w:t>
      </w:r>
      <w:r w:rsidRPr="00593C1D">
        <w:rPr>
          <w:rFonts w:ascii="Times New Roman" w:hAnsi="Times New Roman"/>
          <w:sz w:val="24"/>
          <w:szCs w:val="24"/>
          <w:lang w:val="sr-Cyrl-RS"/>
        </w:rPr>
        <w:t>Републике Македоније, на челу са Мајом Ма</w:t>
      </w:r>
      <w:r w:rsidR="00DC0786">
        <w:rPr>
          <w:rFonts w:ascii="Times New Roman" w:hAnsi="Times New Roman"/>
          <w:sz w:val="24"/>
          <w:szCs w:val="24"/>
          <w:lang w:val="sr-Cyrl-RS"/>
        </w:rPr>
        <w:t xml:space="preserve">лаховом, председницом Комисије, </w:t>
      </w:r>
      <w:r w:rsidRPr="00593C1D">
        <w:rPr>
          <w:rFonts w:ascii="Times New Roman" w:hAnsi="Times New Roman"/>
          <w:sz w:val="24"/>
          <w:szCs w:val="24"/>
          <w:lang w:val="sr-Cyrl-RS"/>
        </w:rPr>
        <w:t xml:space="preserve">посетили су </w:t>
      </w:r>
      <w:r>
        <w:rPr>
          <w:rFonts w:ascii="Times New Roman" w:hAnsi="Times New Roman"/>
          <w:sz w:val="24"/>
          <w:szCs w:val="24"/>
          <w:lang w:val="sr-Cyrl-RS"/>
        </w:rPr>
        <w:t>Управу</w:t>
      </w:r>
      <w:r w:rsidRPr="00593C1D">
        <w:rPr>
          <w:rFonts w:ascii="Times New Roman" w:hAnsi="Times New Roman"/>
          <w:sz w:val="24"/>
          <w:szCs w:val="24"/>
          <w:lang w:val="sr-Cyrl-RS"/>
        </w:rPr>
        <w:t>.</w:t>
      </w:r>
    </w:p>
    <w:p w:rsidR="00BF3283" w:rsidRDefault="00DA15A7" w:rsidP="00DA4317">
      <w:pPr>
        <w:jc w:val="both"/>
        <w:rPr>
          <w:rFonts w:ascii="Times New Roman" w:hAnsi="Times New Roman"/>
          <w:sz w:val="24"/>
          <w:szCs w:val="24"/>
          <w:lang w:val="sr-Cyrl-RS"/>
        </w:rPr>
      </w:pPr>
      <w:r>
        <w:rPr>
          <w:rFonts w:ascii="Times New Roman" w:hAnsi="Times New Roman"/>
          <w:sz w:val="24"/>
          <w:szCs w:val="24"/>
          <w:lang w:val="sr-Cyrl-RS"/>
        </w:rPr>
        <w:t>У априлу 2014. године, у</w:t>
      </w:r>
      <w:r w:rsidR="00BF3283" w:rsidRPr="00593C1D">
        <w:rPr>
          <w:rFonts w:ascii="Times New Roman" w:hAnsi="Times New Roman"/>
          <w:sz w:val="24"/>
          <w:szCs w:val="24"/>
          <w:lang w:val="sr-Cyrl-RS"/>
        </w:rPr>
        <w:t xml:space="preserve"> оквиру</w:t>
      </w:r>
      <w:r w:rsidR="00BF3283" w:rsidRPr="00593C1D">
        <w:rPr>
          <w:rFonts w:ascii="Times New Roman" w:hAnsi="Times New Roman"/>
          <w:sz w:val="24"/>
          <w:szCs w:val="24"/>
        </w:rPr>
        <w:t xml:space="preserve"> </w:t>
      </w:r>
      <w:r w:rsidR="00BF3283" w:rsidRPr="00593C1D">
        <w:rPr>
          <w:rFonts w:ascii="Times New Roman" w:hAnsi="Times New Roman"/>
          <w:sz w:val="24"/>
          <w:szCs w:val="24"/>
          <w:lang w:val="sr-Cyrl-RS"/>
        </w:rPr>
        <w:t xml:space="preserve">припремних активности за билатерални скрининг за Преговоре са ЕУ- Поглавље 5: Јавне набавке, делегација Републике Србије коју су чинили представници </w:t>
      </w:r>
      <w:r w:rsidR="00BF3283">
        <w:rPr>
          <w:rFonts w:ascii="Times New Roman" w:hAnsi="Times New Roman"/>
          <w:sz w:val="24"/>
          <w:szCs w:val="24"/>
          <w:lang w:val="sr-Cyrl-RS"/>
        </w:rPr>
        <w:t>Управе</w:t>
      </w:r>
      <w:r w:rsidR="00BF3283" w:rsidRPr="00593C1D">
        <w:rPr>
          <w:rFonts w:ascii="Times New Roman" w:hAnsi="Times New Roman"/>
          <w:sz w:val="24"/>
          <w:szCs w:val="24"/>
        </w:rPr>
        <w:t xml:space="preserve"> </w:t>
      </w:r>
      <w:r w:rsidR="00BF3283" w:rsidRPr="00593C1D">
        <w:rPr>
          <w:rFonts w:ascii="Times New Roman" w:hAnsi="Times New Roman"/>
          <w:sz w:val="24"/>
          <w:szCs w:val="24"/>
          <w:lang w:val="sr-Cyrl-RS"/>
        </w:rPr>
        <w:t>и Републичке комисије за заштиту пр</w:t>
      </w:r>
      <w:r w:rsidR="00BF3283">
        <w:rPr>
          <w:rFonts w:ascii="Times New Roman" w:hAnsi="Times New Roman"/>
          <w:sz w:val="24"/>
          <w:szCs w:val="24"/>
          <w:lang w:val="sr-Cyrl-RS"/>
        </w:rPr>
        <w:t>ава у поступцима јавних набавки</w:t>
      </w:r>
      <w:r w:rsidR="00BF3283" w:rsidRPr="00593C1D">
        <w:rPr>
          <w:rFonts w:ascii="Times New Roman" w:hAnsi="Times New Roman"/>
          <w:sz w:val="24"/>
          <w:szCs w:val="24"/>
          <w:lang w:val="sr-Cyrl-RS"/>
        </w:rPr>
        <w:t>, посети</w:t>
      </w:r>
      <w:r w:rsidR="00BF3283">
        <w:rPr>
          <w:rFonts w:ascii="Times New Roman" w:hAnsi="Times New Roman"/>
          <w:sz w:val="24"/>
          <w:szCs w:val="24"/>
          <w:lang w:val="sr-Cyrl-RS"/>
        </w:rPr>
        <w:t>л</w:t>
      </w:r>
      <w:r w:rsidR="00BF3283" w:rsidRPr="00593C1D">
        <w:rPr>
          <w:rFonts w:ascii="Times New Roman" w:hAnsi="Times New Roman"/>
          <w:sz w:val="24"/>
          <w:szCs w:val="24"/>
          <w:lang w:val="sr-Cyrl-RS"/>
        </w:rPr>
        <w:t>и су институције надлежне за јавне набавке у Републици Црној Гори (Управа за јавне набавке</w:t>
      </w:r>
      <w:r w:rsidR="00BF3283" w:rsidRPr="00593C1D">
        <w:rPr>
          <w:rFonts w:ascii="Times New Roman" w:hAnsi="Times New Roman"/>
          <w:sz w:val="24"/>
          <w:szCs w:val="24"/>
        </w:rPr>
        <w:t xml:space="preserve"> </w:t>
      </w:r>
      <w:r w:rsidR="00BF3283" w:rsidRPr="00593C1D">
        <w:rPr>
          <w:rFonts w:ascii="Times New Roman" w:hAnsi="Times New Roman"/>
          <w:sz w:val="24"/>
          <w:szCs w:val="24"/>
          <w:lang w:val="sr-Cyrl-RS"/>
        </w:rPr>
        <w:t>и Комисија за контролу поступака јавних набавки</w:t>
      </w:r>
      <w:r w:rsidR="00BF3283" w:rsidRPr="00593C1D">
        <w:rPr>
          <w:rFonts w:ascii="Times New Roman" w:hAnsi="Times New Roman"/>
          <w:sz w:val="24"/>
          <w:szCs w:val="24"/>
        </w:rPr>
        <w:t xml:space="preserve">). </w:t>
      </w:r>
      <w:r w:rsidR="00BF3283" w:rsidRPr="00593C1D">
        <w:rPr>
          <w:rFonts w:ascii="Times New Roman" w:hAnsi="Times New Roman"/>
          <w:sz w:val="24"/>
          <w:szCs w:val="24"/>
          <w:lang w:val="sr-Cyrl-RS"/>
        </w:rPr>
        <w:t xml:space="preserve">Српска делегација је са црногорским колегама разменила искуства уз нагласак на процес Преговора са ЕУ у оквиру Поглавља 5: Јавне набавке. Представници црногорских </w:t>
      </w:r>
      <w:r w:rsidR="00BF3283" w:rsidRPr="001277E5">
        <w:rPr>
          <w:rFonts w:ascii="Times New Roman" w:hAnsi="Times New Roman"/>
          <w:sz w:val="24"/>
          <w:szCs w:val="24"/>
          <w:lang w:val="sr-Cyrl-RS"/>
        </w:rPr>
        <w:t>институција поделили су корисне информације са колегама из Србије</w:t>
      </w:r>
      <w:r w:rsidR="00BF3283">
        <w:rPr>
          <w:rFonts w:ascii="Times New Roman" w:hAnsi="Times New Roman"/>
          <w:sz w:val="24"/>
          <w:szCs w:val="24"/>
          <w:lang w:val="sr-Cyrl-RS"/>
        </w:rPr>
        <w:t>,</w:t>
      </w:r>
      <w:r w:rsidR="00BF3283" w:rsidRPr="001277E5">
        <w:rPr>
          <w:rFonts w:ascii="Times New Roman" w:hAnsi="Times New Roman"/>
          <w:sz w:val="24"/>
          <w:szCs w:val="24"/>
          <w:lang w:val="sr-Cyrl-RS"/>
        </w:rPr>
        <w:t xml:space="preserve"> пре свега о томе како се најадекватније </w:t>
      </w:r>
      <w:r w:rsidR="00BF3283">
        <w:rPr>
          <w:rFonts w:ascii="Times New Roman" w:hAnsi="Times New Roman"/>
          <w:sz w:val="24"/>
          <w:szCs w:val="24"/>
          <w:lang w:val="sr-Cyrl-RS"/>
        </w:rPr>
        <w:t>припремити</w:t>
      </w:r>
      <w:r w:rsidR="00BF3283" w:rsidRPr="001277E5">
        <w:rPr>
          <w:rFonts w:ascii="Times New Roman" w:hAnsi="Times New Roman"/>
          <w:sz w:val="24"/>
          <w:szCs w:val="24"/>
          <w:lang w:val="sr-Cyrl-RS"/>
        </w:rPr>
        <w:t xml:space="preserve"> за састанак билатералног скрининга.</w:t>
      </w:r>
    </w:p>
    <w:p w:rsidR="00706295" w:rsidRPr="00BF3283" w:rsidRDefault="00706295" w:rsidP="00DA4317">
      <w:pPr>
        <w:jc w:val="both"/>
        <w:rPr>
          <w:rFonts w:ascii="Times New Roman" w:hAnsi="Times New Roman"/>
          <w:sz w:val="24"/>
          <w:szCs w:val="24"/>
          <w:lang w:val="sr-Cyrl-RS"/>
        </w:rPr>
      </w:pPr>
    </w:p>
    <w:p w:rsidR="00D4499C" w:rsidRDefault="00D4499C" w:rsidP="00D4499C">
      <w:pPr>
        <w:pStyle w:val="ListParagraph"/>
        <w:numPr>
          <w:ilvl w:val="0"/>
          <w:numId w:val="5"/>
        </w:numPr>
        <w:rPr>
          <w:rFonts w:ascii="Times New Roman" w:hAnsi="Times New Roman" w:cs="Times New Roman"/>
          <w:b/>
          <w:sz w:val="24"/>
          <w:szCs w:val="24"/>
        </w:rPr>
      </w:pPr>
      <w:r>
        <w:rPr>
          <w:rFonts w:ascii="Times New Roman" w:hAnsi="Times New Roman" w:cs="Times New Roman"/>
          <w:b/>
          <w:sz w:val="24"/>
          <w:szCs w:val="24"/>
        </w:rPr>
        <w:lastRenderedPageBreak/>
        <w:t>ЗАКЉУЧЦИ И ПРЕПОРУКЕ</w:t>
      </w:r>
    </w:p>
    <w:p w:rsidR="00D4499C" w:rsidRDefault="00D4499C" w:rsidP="00D4499C">
      <w:pPr>
        <w:jc w:val="both"/>
        <w:rPr>
          <w:rFonts w:ascii="Times New Roman" w:hAnsi="Times New Roman" w:cs="Times New Roman"/>
          <w:sz w:val="24"/>
          <w:szCs w:val="24"/>
        </w:rPr>
      </w:pPr>
      <w:r>
        <w:rPr>
          <w:rFonts w:ascii="Times New Roman" w:hAnsi="Times New Roman"/>
          <w:sz w:val="24"/>
          <w:szCs w:val="24"/>
          <w:lang w:val="ru-RU"/>
        </w:rPr>
        <w:t xml:space="preserve">Општи закључак, </w:t>
      </w:r>
      <w:r>
        <w:rPr>
          <w:rFonts w:ascii="Times New Roman" w:hAnsi="Times New Roman"/>
          <w:sz w:val="24"/>
          <w:szCs w:val="24"/>
        </w:rPr>
        <w:t>на основу збирн</w:t>
      </w:r>
      <w:r w:rsidR="00581A36">
        <w:rPr>
          <w:rFonts w:ascii="Times New Roman" w:hAnsi="Times New Roman"/>
          <w:sz w:val="24"/>
          <w:szCs w:val="24"/>
          <w:lang w:val="sr-Cyrl-RS"/>
        </w:rPr>
        <w:t>ог</w:t>
      </w:r>
      <w:r w:rsidR="00C1614D">
        <w:rPr>
          <w:rFonts w:ascii="Times New Roman" w:hAnsi="Times New Roman"/>
          <w:sz w:val="24"/>
          <w:szCs w:val="24"/>
          <w:lang w:val="sr-Cyrl-RS"/>
        </w:rPr>
        <w:t xml:space="preserve"> </w:t>
      </w:r>
      <w:r>
        <w:rPr>
          <w:rFonts w:ascii="Times New Roman" w:hAnsi="Times New Roman"/>
          <w:sz w:val="24"/>
          <w:szCs w:val="24"/>
        </w:rPr>
        <w:t>извештаја за прву половину 2014. године је</w:t>
      </w:r>
      <w:r w:rsidR="005234D4">
        <w:rPr>
          <w:rFonts w:ascii="Times New Roman" w:hAnsi="Times New Roman"/>
          <w:sz w:val="24"/>
          <w:szCs w:val="24"/>
          <w:lang w:val="sr-Cyrl-CS"/>
        </w:rPr>
        <w:t>сте</w:t>
      </w:r>
      <w:r>
        <w:rPr>
          <w:rFonts w:ascii="Times New Roman" w:hAnsi="Times New Roman"/>
          <w:sz w:val="24"/>
          <w:szCs w:val="24"/>
        </w:rPr>
        <w:t xml:space="preserve"> да је направљен значајан искорак у погледу примене Закона и јачања дисциплине</w:t>
      </w:r>
      <w:r w:rsidR="00C1614D">
        <w:rPr>
          <w:rFonts w:ascii="Times New Roman" w:hAnsi="Times New Roman"/>
          <w:sz w:val="24"/>
          <w:szCs w:val="24"/>
          <w:lang w:val="sr-Cyrl-RS"/>
        </w:rPr>
        <w:t xml:space="preserve"> код наручилаца.</w:t>
      </w:r>
      <w:r>
        <w:rPr>
          <w:rFonts w:ascii="Times New Roman" w:hAnsi="Times New Roman"/>
          <w:sz w:val="24"/>
          <w:szCs w:val="24"/>
        </w:rPr>
        <w:t xml:space="preserve"> Први показатељ</w:t>
      </w:r>
      <w:r w:rsidR="005234D4">
        <w:rPr>
          <w:rFonts w:ascii="Times New Roman" w:hAnsi="Times New Roman"/>
          <w:sz w:val="24"/>
          <w:szCs w:val="24"/>
          <w:lang w:val="sr-Cyrl-CS"/>
        </w:rPr>
        <w:t xml:space="preserve"> који иде томе у прилог</w:t>
      </w:r>
      <w:r>
        <w:rPr>
          <w:rFonts w:ascii="Times New Roman" w:hAnsi="Times New Roman"/>
          <w:sz w:val="24"/>
          <w:szCs w:val="24"/>
        </w:rPr>
        <w:t xml:space="preserve"> је за 56% већи број </w:t>
      </w:r>
      <w:r w:rsidR="00C1614D">
        <w:rPr>
          <w:rFonts w:ascii="Times New Roman" w:hAnsi="Times New Roman"/>
          <w:sz w:val="24"/>
          <w:szCs w:val="24"/>
          <w:lang w:val="sr-Cyrl-RS"/>
        </w:rPr>
        <w:t xml:space="preserve">достављених </w:t>
      </w:r>
      <w:r>
        <w:rPr>
          <w:rFonts w:ascii="Times New Roman" w:hAnsi="Times New Roman"/>
          <w:sz w:val="24"/>
          <w:szCs w:val="24"/>
        </w:rPr>
        <w:t>извештаја о јавним набавкама</w:t>
      </w:r>
      <w:r w:rsidR="00C9508F">
        <w:rPr>
          <w:rFonts w:ascii="Times New Roman" w:hAnsi="Times New Roman"/>
          <w:sz w:val="24"/>
          <w:szCs w:val="24"/>
          <w:lang w:val="sr-Cyrl-RS"/>
        </w:rPr>
        <w:t xml:space="preserve"> од стране наручилаца</w:t>
      </w:r>
      <w:r>
        <w:rPr>
          <w:rFonts w:ascii="Times New Roman" w:hAnsi="Times New Roman"/>
          <w:sz w:val="24"/>
          <w:szCs w:val="24"/>
        </w:rPr>
        <w:t xml:space="preserve"> у</w:t>
      </w:r>
      <w:r>
        <w:rPr>
          <w:rFonts w:ascii="Times New Roman" w:hAnsi="Times New Roman" w:cs="Times New Roman"/>
          <w:sz w:val="24"/>
          <w:szCs w:val="24"/>
        </w:rPr>
        <w:t xml:space="preserve"> првом полугодишту 2014. године </w:t>
      </w:r>
      <w:r w:rsidRPr="00C92791">
        <w:rPr>
          <w:rFonts w:ascii="Times New Roman" w:hAnsi="Times New Roman" w:cs="Times New Roman"/>
          <w:sz w:val="24"/>
          <w:szCs w:val="24"/>
        </w:rPr>
        <w:t>(4.</w:t>
      </w:r>
      <w:r w:rsidR="000D22E7" w:rsidRPr="00C92791">
        <w:rPr>
          <w:rFonts w:ascii="Times New Roman" w:hAnsi="Times New Roman" w:cs="Times New Roman"/>
          <w:sz w:val="24"/>
          <w:szCs w:val="24"/>
        </w:rPr>
        <w:t>843</w:t>
      </w:r>
      <w:r w:rsidR="00E4520A" w:rsidRPr="00C92791">
        <w:rPr>
          <w:rFonts w:ascii="Times New Roman" w:hAnsi="Times New Roman" w:cs="Times New Roman"/>
          <w:sz w:val="24"/>
          <w:szCs w:val="24"/>
          <w:lang w:val="sr-Cyrl-RS"/>
        </w:rPr>
        <w:t>)</w:t>
      </w:r>
      <w:r w:rsidRPr="00F20936">
        <w:rPr>
          <w:rFonts w:ascii="Times New Roman" w:hAnsi="Times New Roman" w:cs="Times New Roman"/>
          <w:sz w:val="24"/>
          <w:szCs w:val="24"/>
        </w:rPr>
        <w:t xml:space="preserve"> </w:t>
      </w:r>
      <w:r>
        <w:rPr>
          <w:rFonts w:ascii="Times New Roman" w:hAnsi="Times New Roman" w:cs="Times New Roman"/>
          <w:sz w:val="24"/>
          <w:szCs w:val="24"/>
        </w:rPr>
        <w:t xml:space="preserve">у односу на исти период у 2013. години (3.109), као и у односу на период 2003-2013. година током кога се </w:t>
      </w:r>
      <w:r w:rsidR="00C9508F">
        <w:rPr>
          <w:rFonts w:ascii="Times New Roman" w:hAnsi="Times New Roman" w:cs="Times New Roman"/>
          <w:sz w:val="24"/>
          <w:szCs w:val="24"/>
          <w:lang w:val="sr-Cyrl-RS"/>
        </w:rPr>
        <w:t xml:space="preserve">тај </w:t>
      </w:r>
      <w:r>
        <w:rPr>
          <w:rFonts w:ascii="Times New Roman" w:hAnsi="Times New Roman" w:cs="Times New Roman"/>
          <w:sz w:val="24"/>
          <w:szCs w:val="24"/>
        </w:rPr>
        <w:t xml:space="preserve">број кретао око 3.000. До промене ове тенденције дошло је </w:t>
      </w:r>
      <w:r w:rsidR="004429AA">
        <w:rPr>
          <w:rFonts w:ascii="Times New Roman" w:hAnsi="Times New Roman" w:cs="Times New Roman"/>
          <w:sz w:val="24"/>
          <w:szCs w:val="24"/>
          <w:lang w:val="sr-Cyrl-RS"/>
        </w:rPr>
        <w:t>услед</w:t>
      </w:r>
      <w:r>
        <w:rPr>
          <w:rFonts w:ascii="Times New Roman" w:hAnsi="Times New Roman" w:cs="Times New Roman"/>
          <w:sz w:val="24"/>
          <w:szCs w:val="24"/>
        </w:rPr>
        <w:t xml:space="preserve"> преласк</w:t>
      </w:r>
      <w:r w:rsidR="004429AA">
        <w:rPr>
          <w:rFonts w:ascii="Times New Roman" w:hAnsi="Times New Roman" w:cs="Times New Roman"/>
          <w:sz w:val="24"/>
          <w:szCs w:val="24"/>
          <w:lang w:val="sr-Cyrl-RS"/>
        </w:rPr>
        <w:t>а</w:t>
      </w:r>
      <w:r>
        <w:rPr>
          <w:rFonts w:ascii="Times New Roman" w:hAnsi="Times New Roman" w:cs="Times New Roman"/>
          <w:sz w:val="24"/>
          <w:szCs w:val="24"/>
        </w:rPr>
        <w:t xml:space="preserve"> вршења надзора над применом </w:t>
      </w:r>
      <w:r w:rsidR="004429AA">
        <w:rPr>
          <w:rFonts w:ascii="Times New Roman" w:hAnsi="Times New Roman" w:cs="Times New Roman"/>
          <w:sz w:val="24"/>
          <w:szCs w:val="24"/>
          <w:lang w:val="sr-Cyrl-RS"/>
        </w:rPr>
        <w:t>Закона</w:t>
      </w:r>
      <w:r>
        <w:rPr>
          <w:rFonts w:ascii="Times New Roman" w:hAnsi="Times New Roman" w:cs="Times New Roman"/>
          <w:sz w:val="24"/>
          <w:szCs w:val="24"/>
        </w:rPr>
        <w:t xml:space="preserve"> на Управу која је применила механизме и овлашћења која су јој стављена на располагање, укључујући и подношење прекршајних пријава против одговорних лица наручилаца због </w:t>
      </w:r>
      <w:r w:rsidR="00804343" w:rsidRPr="00C92791">
        <w:rPr>
          <w:rFonts w:ascii="Times New Roman" w:hAnsi="Times New Roman" w:cs="Times New Roman"/>
          <w:sz w:val="24"/>
          <w:szCs w:val="24"/>
          <w:lang w:val="sr-Cyrl-CS"/>
        </w:rPr>
        <w:t>недостављања</w:t>
      </w:r>
      <w:r>
        <w:rPr>
          <w:rFonts w:ascii="Times New Roman" w:hAnsi="Times New Roman" w:cs="Times New Roman"/>
          <w:sz w:val="24"/>
          <w:szCs w:val="24"/>
        </w:rPr>
        <w:t xml:space="preserve"> кварталних извештаја.   </w:t>
      </w:r>
    </w:p>
    <w:p w:rsidR="00D4499C" w:rsidRDefault="00D4499C" w:rsidP="00D4499C">
      <w:pPr>
        <w:jc w:val="both"/>
        <w:rPr>
          <w:rFonts w:ascii="Times New Roman" w:hAnsi="Times New Roman"/>
          <w:sz w:val="24"/>
          <w:szCs w:val="24"/>
          <w:lang w:val="ru-RU"/>
        </w:rPr>
      </w:pPr>
      <w:r>
        <w:rPr>
          <w:rFonts w:ascii="Times New Roman" w:hAnsi="Times New Roman"/>
          <w:sz w:val="24"/>
          <w:szCs w:val="24"/>
          <w:lang w:val="ru-RU"/>
        </w:rPr>
        <w:t xml:space="preserve">Значајни помаци направљени су </w:t>
      </w:r>
      <w:r w:rsidR="0090530A">
        <w:rPr>
          <w:rFonts w:ascii="Times New Roman" w:hAnsi="Times New Roman"/>
          <w:sz w:val="24"/>
          <w:szCs w:val="24"/>
          <w:lang w:val="ru-RU"/>
        </w:rPr>
        <w:t xml:space="preserve">и </w:t>
      </w:r>
      <w:r>
        <w:rPr>
          <w:rFonts w:ascii="Times New Roman" w:hAnsi="Times New Roman"/>
          <w:sz w:val="24"/>
          <w:szCs w:val="24"/>
          <w:lang w:val="ru-RU"/>
        </w:rPr>
        <w:t>у погледу јачања транспарентности и конкуренције</w:t>
      </w:r>
      <w:r w:rsidR="00804343">
        <w:rPr>
          <w:rFonts w:ascii="Times New Roman" w:hAnsi="Times New Roman"/>
          <w:sz w:val="24"/>
          <w:szCs w:val="24"/>
          <w:lang w:val="ru-RU"/>
        </w:rPr>
        <w:t xml:space="preserve">, </w:t>
      </w:r>
      <w:r w:rsidR="00804343" w:rsidRPr="00C92791">
        <w:rPr>
          <w:rFonts w:ascii="Times New Roman" w:hAnsi="Times New Roman"/>
          <w:sz w:val="24"/>
          <w:szCs w:val="24"/>
          <w:lang w:val="ru-RU"/>
        </w:rPr>
        <w:t>и то пре свега</w:t>
      </w:r>
      <w:r>
        <w:rPr>
          <w:rFonts w:ascii="Times New Roman" w:hAnsi="Times New Roman"/>
          <w:sz w:val="24"/>
          <w:szCs w:val="24"/>
          <w:lang w:val="ru-RU"/>
        </w:rPr>
        <w:t xml:space="preserve"> кроз сузбијање</w:t>
      </w:r>
      <w:r w:rsidR="00804343">
        <w:rPr>
          <w:rFonts w:ascii="Times New Roman" w:hAnsi="Times New Roman"/>
          <w:sz w:val="24"/>
          <w:szCs w:val="24"/>
          <w:lang w:val="ru-RU"/>
        </w:rPr>
        <w:t xml:space="preserve"> </w:t>
      </w:r>
      <w:r w:rsidR="00804343" w:rsidRPr="00C92791">
        <w:rPr>
          <w:rFonts w:ascii="Times New Roman" w:hAnsi="Times New Roman"/>
          <w:sz w:val="24"/>
          <w:szCs w:val="24"/>
          <w:lang w:val="ru-RU"/>
        </w:rPr>
        <w:t>примене</w:t>
      </w:r>
      <w:r>
        <w:rPr>
          <w:rFonts w:ascii="Times New Roman" w:hAnsi="Times New Roman"/>
          <w:sz w:val="24"/>
          <w:szCs w:val="24"/>
          <w:lang w:val="ru-RU"/>
        </w:rPr>
        <w:t xml:space="preserve"> нетранспарентног и неконкурентног преговарачког поступка без објављивања јавног позива. </w:t>
      </w:r>
    </w:p>
    <w:p w:rsidR="00D4499C" w:rsidRDefault="00D4499C" w:rsidP="00D4499C">
      <w:pPr>
        <w:jc w:val="both"/>
        <w:rPr>
          <w:rFonts w:ascii="Times New Roman" w:hAnsi="Times New Roman"/>
          <w:sz w:val="24"/>
          <w:szCs w:val="24"/>
          <w:lang w:val="ru-RU"/>
        </w:rPr>
      </w:pPr>
      <w:r>
        <w:rPr>
          <w:rFonts w:ascii="Times New Roman" w:hAnsi="Times New Roman"/>
          <w:sz w:val="24"/>
          <w:szCs w:val="24"/>
          <w:lang w:val="ru-RU"/>
        </w:rPr>
        <w:t xml:space="preserve">Током десетогодишњег периода примене </w:t>
      </w:r>
      <w:r w:rsidR="00C312D4">
        <w:rPr>
          <w:rFonts w:ascii="Times New Roman" w:hAnsi="Times New Roman"/>
          <w:sz w:val="24"/>
          <w:szCs w:val="24"/>
          <w:lang w:val="ru-RU"/>
        </w:rPr>
        <w:t>Закона</w:t>
      </w:r>
      <w:r>
        <w:rPr>
          <w:rFonts w:ascii="Times New Roman" w:hAnsi="Times New Roman"/>
          <w:sz w:val="24"/>
          <w:szCs w:val="24"/>
          <w:lang w:val="ru-RU"/>
        </w:rPr>
        <w:t xml:space="preserve">, учешће преговарачког поступка без објављивања кретало се од 23 до чак 37%, а у првом полугодишту 2013. године износило је 24%. У првом полугодишту 2014. године учешће овог нетранспарентног и неконкурентног поступка смањено је на свега 4% колико </w:t>
      </w:r>
      <w:r w:rsidR="0090530A">
        <w:rPr>
          <w:rFonts w:ascii="Times New Roman" w:hAnsi="Times New Roman"/>
          <w:sz w:val="24"/>
          <w:szCs w:val="24"/>
          <w:lang w:val="ru-RU"/>
        </w:rPr>
        <w:t>износи и</w:t>
      </w:r>
      <w:r>
        <w:rPr>
          <w:rFonts w:ascii="Times New Roman" w:hAnsi="Times New Roman"/>
          <w:sz w:val="24"/>
          <w:szCs w:val="24"/>
          <w:lang w:val="ru-RU"/>
        </w:rPr>
        <w:t xml:space="preserve"> просек у ЕУ. Ова значајна промена резултат је активности Управе која је давала претходно мишљење о основаности покретања преговарачког поступка и на тај начин спречавала </w:t>
      </w:r>
      <w:r w:rsidR="001B257E">
        <w:rPr>
          <w:rFonts w:ascii="Times New Roman" w:hAnsi="Times New Roman"/>
          <w:sz w:val="24"/>
          <w:szCs w:val="24"/>
          <w:lang w:val="ru-RU"/>
        </w:rPr>
        <w:t xml:space="preserve">његову </w:t>
      </w:r>
      <w:r>
        <w:rPr>
          <w:rFonts w:ascii="Times New Roman" w:hAnsi="Times New Roman"/>
          <w:sz w:val="24"/>
          <w:szCs w:val="24"/>
          <w:lang w:val="ru-RU"/>
        </w:rPr>
        <w:t>неоправдану примену, истовремено упућујући наручиоце на примену отвореног поступка који је повећао своје учешће са 54% у првом полугодишту 2013. године на 86% годину дана касније. На тај начин је учешће отвореног поступка, у првом полугодишту 2014. године, достигло ниво зем</w:t>
      </w:r>
      <w:r w:rsidR="001B257E">
        <w:rPr>
          <w:rFonts w:ascii="Times New Roman" w:hAnsi="Times New Roman"/>
          <w:sz w:val="24"/>
          <w:szCs w:val="24"/>
          <w:lang w:val="ru-RU"/>
        </w:rPr>
        <w:t>аља</w:t>
      </w:r>
      <w:r>
        <w:rPr>
          <w:rFonts w:ascii="Times New Roman" w:hAnsi="Times New Roman"/>
          <w:sz w:val="24"/>
          <w:szCs w:val="24"/>
          <w:lang w:val="ru-RU"/>
        </w:rPr>
        <w:t xml:space="preserve"> ЕУ.    </w:t>
      </w:r>
    </w:p>
    <w:p w:rsidR="00D4499C" w:rsidRDefault="00D4499C" w:rsidP="00D4499C">
      <w:pPr>
        <w:jc w:val="both"/>
        <w:rPr>
          <w:rFonts w:ascii="Times New Roman" w:hAnsi="Times New Roman" w:cs="Times New Roman"/>
          <w:sz w:val="24"/>
          <w:szCs w:val="24"/>
          <w:lang w:val="en-US"/>
        </w:rPr>
      </w:pPr>
      <w:r>
        <w:rPr>
          <w:rFonts w:ascii="Times New Roman" w:hAnsi="Times New Roman" w:cs="Times New Roman"/>
          <w:sz w:val="24"/>
          <w:szCs w:val="24"/>
        </w:rPr>
        <w:t xml:space="preserve">Други општи закључак је да је потребно наставити са предузимањем мера како би се повећало учешће понуђача у поступцима јавних набавки и тиме побољшао показатељ интензитета конкуренције. </w:t>
      </w:r>
      <w:r>
        <w:rPr>
          <w:rFonts w:ascii="Times New Roman" w:hAnsi="Times New Roman"/>
          <w:sz w:val="24"/>
          <w:szCs w:val="24"/>
          <w:lang w:val="ru-RU"/>
        </w:rPr>
        <w:t xml:space="preserve">Значајан корак ка олакшавању учешћа понуђача у поступцима јавних набавки начињен је почетком рада Регистра понуђача. Понуђачима је даље </w:t>
      </w:r>
      <w:r>
        <w:rPr>
          <w:rFonts w:ascii="Times New Roman" w:hAnsi="Times New Roman" w:cs="Times New Roman"/>
          <w:sz w:val="24"/>
          <w:szCs w:val="24"/>
        </w:rPr>
        <w:t xml:space="preserve">неопходно  обезбедити обуке како би се превазишла недовољна информисаност и непознавање процедура јавних набавки. Посебну пажњу потребно је посветити малим и средњим предузећима (МСП) која су најбројнија и која могу да, својим већим учествовањем у поступцима јавних набавки, а пре свега набавкама мале вредности, створе интензивнију конкуренцију. </w:t>
      </w:r>
    </w:p>
    <w:p w:rsidR="00D4499C" w:rsidRDefault="00D4499C" w:rsidP="00D4499C">
      <w:pPr>
        <w:jc w:val="both"/>
        <w:rPr>
          <w:rFonts w:ascii="Times New Roman" w:hAnsi="Times New Roman" w:cs="Times New Roman"/>
          <w:sz w:val="24"/>
          <w:szCs w:val="24"/>
        </w:rPr>
      </w:pPr>
      <w:r>
        <w:rPr>
          <w:rFonts w:ascii="Times New Roman" w:hAnsi="Times New Roman" w:cs="Times New Roman"/>
          <w:sz w:val="24"/>
          <w:szCs w:val="24"/>
        </w:rPr>
        <w:t xml:space="preserve">Такође је важно идентификовање препрека за веће учешће МСП у поступцима набавки, имајући у виду да су ова предузећа најрањивија категорија понуђача, посебно са аспекта централизације јавних набавки чији се развој очекује у предстојећем периоду.  У складу са идентификованим ограничењима, неопходно је утврдити сет мера за њихово превазилажење како би се, у наредном периоду, обезбедило веће учешће МСП у поступцима јавних набавки. </w:t>
      </w:r>
    </w:p>
    <w:p w:rsidR="00D4499C" w:rsidRDefault="00D4499C" w:rsidP="00365FDC">
      <w:pPr>
        <w:jc w:val="both"/>
        <w:rPr>
          <w:rFonts w:ascii="Times New Roman" w:hAnsi="Times New Roman"/>
          <w:sz w:val="24"/>
          <w:szCs w:val="24"/>
          <w:lang w:val="ru-RU"/>
        </w:rPr>
      </w:pPr>
      <w:r>
        <w:rPr>
          <w:rFonts w:ascii="Times New Roman" w:hAnsi="Times New Roman"/>
          <w:sz w:val="24"/>
          <w:szCs w:val="24"/>
          <w:lang w:val="ru-RU"/>
        </w:rPr>
        <w:t xml:space="preserve">У погледу надзора, остварени су одређени резултати. Управа </w:t>
      </w:r>
      <w:r w:rsidR="00CA2676">
        <w:rPr>
          <w:rFonts w:ascii="Times New Roman" w:hAnsi="Times New Roman"/>
          <w:sz w:val="24"/>
          <w:szCs w:val="24"/>
          <w:lang w:val="ru-RU"/>
        </w:rPr>
        <w:t>је покренула</w:t>
      </w:r>
      <w:r>
        <w:rPr>
          <w:rFonts w:ascii="Times New Roman" w:hAnsi="Times New Roman"/>
          <w:sz w:val="24"/>
          <w:szCs w:val="24"/>
          <w:lang w:val="ru-RU"/>
        </w:rPr>
        <w:t xml:space="preserve">, у периоду од 1. марта 2014. године до 1. септембра 2014. године 26 прекршајних пријава по новом Закону о прекршајима. </w:t>
      </w:r>
    </w:p>
    <w:p w:rsidR="00D4499C" w:rsidRDefault="00D4499C" w:rsidP="00365FDC">
      <w:pPr>
        <w:jc w:val="both"/>
        <w:rPr>
          <w:rFonts w:ascii="Times New Roman" w:hAnsi="Times New Roman"/>
          <w:sz w:val="24"/>
          <w:szCs w:val="24"/>
          <w:lang w:val="ru-RU"/>
        </w:rPr>
      </w:pPr>
      <w:r>
        <w:rPr>
          <w:rFonts w:ascii="Times New Roman" w:hAnsi="Times New Roman"/>
          <w:sz w:val="24"/>
          <w:szCs w:val="24"/>
          <w:lang w:val="ru-RU"/>
        </w:rPr>
        <w:t xml:space="preserve">Један од значајних механизама за контролу извршења уговора су извештаји о изменама уговора који се достављају </w:t>
      </w:r>
      <w:r w:rsidR="00523745">
        <w:rPr>
          <w:rFonts w:ascii="Times New Roman" w:hAnsi="Times New Roman"/>
          <w:sz w:val="24"/>
          <w:szCs w:val="24"/>
          <w:lang w:val="ru-RU"/>
        </w:rPr>
        <w:t>Управи</w:t>
      </w:r>
      <w:r>
        <w:rPr>
          <w:rFonts w:ascii="Times New Roman" w:hAnsi="Times New Roman"/>
          <w:sz w:val="24"/>
          <w:szCs w:val="24"/>
          <w:lang w:val="ru-RU"/>
        </w:rPr>
        <w:t xml:space="preserve"> и </w:t>
      </w:r>
      <w:r w:rsidR="00563B85">
        <w:rPr>
          <w:rFonts w:ascii="Times New Roman" w:hAnsi="Times New Roman"/>
          <w:sz w:val="24"/>
          <w:szCs w:val="24"/>
          <w:lang w:val="ru-RU"/>
        </w:rPr>
        <w:t>ДРИ</w:t>
      </w:r>
      <w:r>
        <w:rPr>
          <w:rFonts w:ascii="Times New Roman" w:hAnsi="Times New Roman"/>
          <w:sz w:val="24"/>
          <w:szCs w:val="24"/>
          <w:lang w:val="ru-RU"/>
        </w:rPr>
        <w:t xml:space="preserve">. Управа је анализирала један број извештаја, али је суочена са кадровским ограничењима за вршење ове врло важне функције која би могла значајно да допринесе јачању дисциплине у фази извршења уговора. Закон предвиђа и да Управа подноси прекршајне пријаве у случају да уочи нерегуларности код измена уговора. </w:t>
      </w:r>
    </w:p>
    <w:p w:rsidR="00D4499C" w:rsidRPr="00C92791" w:rsidRDefault="00523745" w:rsidP="00365FDC">
      <w:pPr>
        <w:jc w:val="both"/>
        <w:rPr>
          <w:rFonts w:ascii="Times New Roman" w:hAnsi="Times New Roman"/>
          <w:sz w:val="24"/>
          <w:szCs w:val="24"/>
          <w:lang w:val="ru-RU"/>
        </w:rPr>
      </w:pPr>
      <w:r>
        <w:rPr>
          <w:rFonts w:ascii="Times New Roman" w:hAnsi="Times New Roman"/>
          <w:sz w:val="24"/>
          <w:szCs w:val="24"/>
          <w:lang w:val="ru-RU"/>
        </w:rPr>
        <w:lastRenderedPageBreak/>
        <w:t>Набавке на које се З</w:t>
      </w:r>
      <w:r w:rsidR="00D4499C">
        <w:rPr>
          <w:rFonts w:ascii="Times New Roman" w:hAnsi="Times New Roman"/>
          <w:sz w:val="24"/>
          <w:szCs w:val="24"/>
          <w:lang w:val="ru-RU"/>
        </w:rPr>
        <w:t xml:space="preserve">акон не примењује приказане су у плановима набавки које су наручиоци у обавези да достављају </w:t>
      </w:r>
      <w:r>
        <w:rPr>
          <w:rFonts w:ascii="Times New Roman" w:hAnsi="Times New Roman"/>
          <w:sz w:val="24"/>
          <w:szCs w:val="24"/>
          <w:lang w:val="ru-RU"/>
        </w:rPr>
        <w:t xml:space="preserve">Управи </w:t>
      </w:r>
      <w:r w:rsidR="00D4499C">
        <w:rPr>
          <w:rFonts w:ascii="Times New Roman" w:hAnsi="Times New Roman"/>
          <w:sz w:val="24"/>
          <w:szCs w:val="24"/>
          <w:lang w:val="ru-RU"/>
        </w:rPr>
        <w:t xml:space="preserve">и </w:t>
      </w:r>
      <w:r w:rsidR="00AD254D">
        <w:rPr>
          <w:rFonts w:ascii="Times New Roman" w:hAnsi="Times New Roman"/>
          <w:sz w:val="24"/>
          <w:szCs w:val="24"/>
          <w:lang w:val="ru-RU"/>
        </w:rPr>
        <w:t>ДРИ</w:t>
      </w:r>
      <w:r w:rsidR="00D4499C">
        <w:rPr>
          <w:rFonts w:ascii="Times New Roman" w:hAnsi="Times New Roman"/>
          <w:sz w:val="24"/>
          <w:szCs w:val="24"/>
          <w:lang w:val="ru-RU"/>
        </w:rPr>
        <w:t xml:space="preserve">. Анализом планова може се доћи до сазнања о набавкама које </w:t>
      </w:r>
      <w:r w:rsidR="00BF1E92">
        <w:rPr>
          <w:rFonts w:ascii="Times New Roman" w:hAnsi="Times New Roman"/>
          <w:sz w:val="24"/>
          <w:szCs w:val="24"/>
          <w:lang w:val="ru-RU"/>
        </w:rPr>
        <w:t xml:space="preserve">наручиоци планирају да </w:t>
      </w:r>
      <w:r w:rsidR="00D4499C">
        <w:rPr>
          <w:rFonts w:ascii="Times New Roman" w:hAnsi="Times New Roman"/>
          <w:sz w:val="24"/>
          <w:szCs w:val="24"/>
          <w:lang w:val="ru-RU"/>
        </w:rPr>
        <w:t xml:space="preserve">спроведу без примене </w:t>
      </w:r>
      <w:r>
        <w:rPr>
          <w:rFonts w:ascii="Times New Roman" w:hAnsi="Times New Roman"/>
          <w:sz w:val="24"/>
          <w:szCs w:val="24"/>
          <w:lang w:val="ru-RU"/>
        </w:rPr>
        <w:t>Закона</w:t>
      </w:r>
      <w:r w:rsidR="00D4499C">
        <w:rPr>
          <w:rFonts w:ascii="Times New Roman" w:hAnsi="Times New Roman"/>
          <w:sz w:val="24"/>
          <w:szCs w:val="24"/>
          <w:lang w:val="ru-RU"/>
        </w:rPr>
        <w:t xml:space="preserve">, а за које </w:t>
      </w:r>
      <w:r w:rsidR="00BF1E92">
        <w:rPr>
          <w:rFonts w:ascii="Times New Roman" w:hAnsi="Times New Roman"/>
          <w:sz w:val="24"/>
          <w:szCs w:val="24"/>
          <w:lang w:val="ru-RU"/>
        </w:rPr>
        <w:t>не</w:t>
      </w:r>
      <w:r w:rsidR="00D4499C">
        <w:rPr>
          <w:rFonts w:ascii="Times New Roman" w:hAnsi="Times New Roman"/>
          <w:sz w:val="24"/>
          <w:szCs w:val="24"/>
          <w:lang w:val="ru-RU"/>
        </w:rPr>
        <w:t xml:space="preserve"> </w:t>
      </w:r>
      <w:r w:rsidR="00BF1E92">
        <w:rPr>
          <w:rFonts w:ascii="Times New Roman" w:hAnsi="Times New Roman"/>
          <w:sz w:val="24"/>
          <w:szCs w:val="24"/>
          <w:lang w:val="ru-RU"/>
        </w:rPr>
        <w:t>постоји</w:t>
      </w:r>
      <w:r w:rsidR="00D4499C">
        <w:rPr>
          <w:rFonts w:ascii="Times New Roman" w:hAnsi="Times New Roman"/>
          <w:sz w:val="24"/>
          <w:szCs w:val="24"/>
          <w:lang w:val="ru-RU"/>
        </w:rPr>
        <w:t xml:space="preserve"> основ за изузеће и да, у складу са тим, реагују </w:t>
      </w:r>
      <w:r>
        <w:rPr>
          <w:rFonts w:ascii="Times New Roman" w:hAnsi="Times New Roman"/>
          <w:sz w:val="24"/>
          <w:szCs w:val="24"/>
          <w:lang w:val="ru-RU"/>
        </w:rPr>
        <w:t>Управа</w:t>
      </w:r>
      <w:r w:rsidR="00D4499C">
        <w:rPr>
          <w:rFonts w:ascii="Times New Roman" w:hAnsi="Times New Roman"/>
          <w:sz w:val="24"/>
          <w:szCs w:val="24"/>
          <w:lang w:val="ru-RU"/>
        </w:rPr>
        <w:t xml:space="preserve"> и ДРИ. </w:t>
      </w:r>
      <w:r w:rsidR="00D4499C" w:rsidRPr="00C92791">
        <w:rPr>
          <w:rFonts w:ascii="Times New Roman" w:hAnsi="Times New Roman"/>
          <w:sz w:val="24"/>
          <w:szCs w:val="24"/>
          <w:lang w:val="ru-RU"/>
        </w:rPr>
        <w:t xml:space="preserve">Анализа </w:t>
      </w:r>
      <w:r w:rsidR="00AD254D" w:rsidRPr="00C92791">
        <w:rPr>
          <w:rFonts w:ascii="Times New Roman" w:hAnsi="Times New Roman"/>
          <w:sz w:val="24"/>
          <w:szCs w:val="24"/>
          <w:lang w:val="ru-RU"/>
        </w:rPr>
        <w:t xml:space="preserve">разлога и оправданости примене </w:t>
      </w:r>
      <w:r w:rsidR="00D4499C" w:rsidRPr="00C92791">
        <w:rPr>
          <w:rFonts w:ascii="Times New Roman" w:hAnsi="Times New Roman"/>
          <w:sz w:val="24"/>
          <w:szCs w:val="24"/>
          <w:lang w:val="ru-RU"/>
        </w:rPr>
        <w:t>изузећа</w:t>
      </w:r>
      <w:r w:rsidR="00AD254D" w:rsidRPr="00C92791">
        <w:rPr>
          <w:rFonts w:ascii="Times New Roman" w:hAnsi="Times New Roman"/>
          <w:sz w:val="24"/>
          <w:szCs w:val="24"/>
          <w:lang w:val="ru-RU"/>
        </w:rPr>
        <w:t xml:space="preserve">, као </w:t>
      </w:r>
      <w:r w:rsidRPr="00C92791">
        <w:rPr>
          <w:rFonts w:ascii="Times New Roman" w:hAnsi="Times New Roman"/>
          <w:sz w:val="24"/>
          <w:szCs w:val="24"/>
          <w:lang w:val="ru-RU"/>
        </w:rPr>
        <w:t xml:space="preserve">и </w:t>
      </w:r>
      <w:r w:rsidR="00AD254D" w:rsidRPr="00C92791">
        <w:rPr>
          <w:rFonts w:ascii="Times New Roman" w:hAnsi="Times New Roman"/>
          <w:sz w:val="24"/>
          <w:szCs w:val="24"/>
          <w:lang w:val="ru-RU"/>
        </w:rPr>
        <w:t xml:space="preserve">њихова </w:t>
      </w:r>
      <w:r w:rsidRPr="00C92791">
        <w:rPr>
          <w:rFonts w:ascii="Times New Roman" w:hAnsi="Times New Roman"/>
          <w:sz w:val="24"/>
          <w:szCs w:val="24"/>
          <w:lang w:val="ru-RU"/>
        </w:rPr>
        <w:t>превенција су посебно значајне</w:t>
      </w:r>
      <w:r w:rsidR="00D4499C" w:rsidRPr="00C92791">
        <w:rPr>
          <w:rFonts w:ascii="Times New Roman" w:hAnsi="Times New Roman"/>
          <w:sz w:val="24"/>
          <w:szCs w:val="24"/>
          <w:lang w:val="ru-RU"/>
        </w:rPr>
        <w:t xml:space="preserve"> у контексту </w:t>
      </w:r>
      <w:r w:rsidRPr="00C92791">
        <w:rPr>
          <w:rFonts w:ascii="Times New Roman" w:hAnsi="Times New Roman"/>
          <w:sz w:val="24"/>
          <w:szCs w:val="24"/>
          <w:lang w:val="ru-RU"/>
        </w:rPr>
        <w:t xml:space="preserve">тога </w:t>
      </w:r>
      <w:r w:rsidR="00D4499C" w:rsidRPr="00C92791">
        <w:rPr>
          <w:rFonts w:ascii="Times New Roman" w:hAnsi="Times New Roman"/>
          <w:sz w:val="24"/>
          <w:szCs w:val="24"/>
          <w:lang w:val="ru-RU"/>
        </w:rPr>
        <w:t>што је</w:t>
      </w:r>
      <w:r w:rsidR="00AD254D" w:rsidRPr="00C92791">
        <w:rPr>
          <w:rFonts w:ascii="Times New Roman" w:hAnsi="Times New Roman"/>
          <w:sz w:val="24"/>
          <w:szCs w:val="24"/>
          <w:lang w:val="ru-RU"/>
        </w:rPr>
        <w:t>, у пр</w:t>
      </w:r>
      <w:r w:rsidR="00773401">
        <w:rPr>
          <w:rFonts w:ascii="Times New Roman" w:hAnsi="Times New Roman"/>
          <w:sz w:val="24"/>
          <w:szCs w:val="24"/>
          <w:lang w:val="ru-RU"/>
        </w:rPr>
        <w:t>е</w:t>
      </w:r>
      <w:r w:rsidR="00AD254D" w:rsidRPr="00C92791">
        <w:rPr>
          <w:rFonts w:ascii="Times New Roman" w:hAnsi="Times New Roman"/>
          <w:sz w:val="24"/>
          <w:szCs w:val="24"/>
          <w:lang w:val="ru-RU"/>
        </w:rPr>
        <w:t>тходном периоду,</w:t>
      </w:r>
      <w:r w:rsidR="00D4499C" w:rsidRPr="00C92791">
        <w:rPr>
          <w:rFonts w:ascii="Times New Roman" w:hAnsi="Times New Roman"/>
          <w:sz w:val="24"/>
          <w:szCs w:val="24"/>
          <w:lang w:val="ru-RU"/>
        </w:rPr>
        <w:t xml:space="preserve"> дошло до </w:t>
      </w:r>
      <w:r w:rsidR="0041611A" w:rsidRPr="00C92791">
        <w:rPr>
          <w:rFonts w:ascii="Times New Roman" w:hAnsi="Times New Roman"/>
          <w:sz w:val="24"/>
          <w:szCs w:val="24"/>
          <w:lang w:val="ru-RU"/>
        </w:rPr>
        <w:t>пораста</w:t>
      </w:r>
      <w:r w:rsidR="00D4499C" w:rsidRPr="00C92791">
        <w:rPr>
          <w:rFonts w:ascii="Times New Roman" w:hAnsi="Times New Roman"/>
          <w:sz w:val="24"/>
          <w:szCs w:val="24"/>
          <w:lang w:val="ru-RU"/>
        </w:rPr>
        <w:t xml:space="preserve"> изузетака од примене </w:t>
      </w:r>
      <w:r w:rsidRPr="00C92791">
        <w:rPr>
          <w:rFonts w:ascii="Times New Roman" w:hAnsi="Times New Roman"/>
          <w:sz w:val="24"/>
          <w:szCs w:val="24"/>
          <w:lang w:val="ru-RU"/>
        </w:rPr>
        <w:t>Закона</w:t>
      </w:r>
      <w:r w:rsidR="00AD254D" w:rsidRPr="00C92791">
        <w:rPr>
          <w:rFonts w:ascii="Times New Roman" w:hAnsi="Times New Roman"/>
          <w:sz w:val="24"/>
          <w:szCs w:val="24"/>
          <w:lang w:val="ru-RU"/>
        </w:rPr>
        <w:t xml:space="preserve">. Наиме, </w:t>
      </w:r>
      <w:r w:rsidRPr="00C92791">
        <w:rPr>
          <w:rFonts w:ascii="Times New Roman" w:hAnsi="Times New Roman"/>
          <w:sz w:val="24"/>
          <w:szCs w:val="24"/>
          <w:lang w:val="ru-RU"/>
        </w:rPr>
        <w:t xml:space="preserve"> </w:t>
      </w:r>
      <w:r w:rsidR="006134B1" w:rsidRPr="00C92791">
        <w:rPr>
          <w:rFonts w:ascii="Times New Roman" w:hAnsi="Times New Roman"/>
          <w:sz w:val="24"/>
          <w:szCs w:val="24"/>
          <w:lang w:val="ru-RU"/>
        </w:rPr>
        <w:t>скоро</w:t>
      </w:r>
      <w:r w:rsidR="00D4499C" w:rsidRPr="00C92791">
        <w:rPr>
          <w:rFonts w:ascii="Times New Roman" w:hAnsi="Times New Roman"/>
          <w:sz w:val="24"/>
          <w:szCs w:val="24"/>
          <w:lang w:val="ru-RU"/>
        </w:rPr>
        <w:t xml:space="preserve"> ¼</w:t>
      </w:r>
      <w:r w:rsidR="009911D7" w:rsidRPr="00C92791">
        <w:rPr>
          <w:rFonts w:ascii="Times New Roman" w:hAnsi="Times New Roman"/>
          <w:sz w:val="24"/>
          <w:szCs w:val="24"/>
          <w:lang w:val="ru-RU"/>
        </w:rPr>
        <w:t xml:space="preserve">, односно </w:t>
      </w:r>
      <w:r w:rsidR="006134B1" w:rsidRPr="00C92791">
        <w:rPr>
          <w:rFonts w:ascii="Times New Roman" w:hAnsi="Times New Roman"/>
          <w:sz w:val="24"/>
          <w:szCs w:val="24"/>
          <w:lang w:val="ru-RU"/>
        </w:rPr>
        <w:t>24</w:t>
      </w:r>
      <w:r w:rsidR="009911D7" w:rsidRPr="00C92791">
        <w:rPr>
          <w:rFonts w:ascii="Times New Roman" w:hAnsi="Times New Roman"/>
          <w:sz w:val="24"/>
          <w:szCs w:val="24"/>
          <w:lang w:val="ru-RU"/>
        </w:rPr>
        <w:t xml:space="preserve"> % </w:t>
      </w:r>
      <w:r w:rsidR="00D4499C" w:rsidRPr="00C92791">
        <w:rPr>
          <w:rFonts w:ascii="Times New Roman" w:hAnsi="Times New Roman"/>
          <w:sz w:val="24"/>
          <w:szCs w:val="24"/>
          <w:lang w:val="ru-RU"/>
        </w:rPr>
        <w:t>укупне вредности набавки, у првом полугодишту 2014. године,  реа</w:t>
      </w:r>
      <w:r w:rsidR="00AD254D" w:rsidRPr="00C92791">
        <w:rPr>
          <w:rFonts w:ascii="Times New Roman" w:hAnsi="Times New Roman"/>
          <w:sz w:val="24"/>
          <w:szCs w:val="24"/>
          <w:lang w:val="ru-RU"/>
        </w:rPr>
        <w:t>лизовано је</w:t>
      </w:r>
      <w:r w:rsidR="00D4499C" w:rsidRPr="00C92791">
        <w:rPr>
          <w:rFonts w:ascii="Times New Roman" w:hAnsi="Times New Roman"/>
          <w:sz w:val="24"/>
          <w:szCs w:val="24"/>
          <w:lang w:val="ru-RU"/>
        </w:rPr>
        <w:t xml:space="preserve"> без примене </w:t>
      </w:r>
      <w:r w:rsidRPr="00C92791">
        <w:rPr>
          <w:rFonts w:ascii="Times New Roman" w:hAnsi="Times New Roman"/>
          <w:sz w:val="24"/>
          <w:szCs w:val="24"/>
          <w:lang w:val="ru-RU"/>
        </w:rPr>
        <w:t>Закона</w:t>
      </w:r>
      <w:r w:rsidR="00D4499C" w:rsidRPr="00C92791">
        <w:rPr>
          <w:rFonts w:ascii="Times New Roman" w:hAnsi="Times New Roman"/>
          <w:sz w:val="24"/>
          <w:szCs w:val="24"/>
          <w:lang w:val="ru-RU"/>
        </w:rPr>
        <w:t xml:space="preserve">, док је учешће ових набавки у </w:t>
      </w:r>
      <w:r w:rsidR="000D22E7" w:rsidRPr="00C92791">
        <w:rPr>
          <w:rFonts w:ascii="Times New Roman" w:hAnsi="Times New Roman"/>
          <w:sz w:val="24"/>
          <w:szCs w:val="24"/>
          <w:lang w:val="sr-Cyrl-CS"/>
        </w:rPr>
        <w:t>другом кварталу</w:t>
      </w:r>
      <w:r w:rsidR="00D4499C" w:rsidRPr="00C92791">
        <w:rPr>
          <w:rFonts w:ascii="Times New Roman" w:hAnsi="Times New Roman"/>
          <w:sz w:val="24"/>
          <w:szCs w:val="24"/>
          <w:lang w:val="ru-RU"/>
        </w:rPr>
        <w:t xml:space="preserve"> 2013. </w:t>
      </w:r>
      <w:r w:rsidR="008C2783" w:rsidRPr="00C92791">
        <w:rPr>
          <w:rFonts w:ascii="Times New Roman" w:hAnsi="Times New Roman"/>
          <w:sz w:val="24"/>
          <w:szCs w:val="24"/>
          <w:lang w:val="ru-RU"/>
        </w:rPr>
        <w:t>г</w:t>
      </w:r>
      <w:r w:rsidR="00D4499C" w:rsidRPr="00C92791">
        <w:rPr>
          <w:rFonts w:ascii="Times New Roman" w:hAnsi="Times New Roman"/>
          <w:sz w:val="24"/>
          <w:szCs w:val="24"/>
          <w:lang w:val="ru-RU"/>
        </w:rPr>
        <w:t>одине</w:t>
      </w:r>
      <w:r w:rsidR="000D22E7" w:rsidRPr="00C92791">
        <w:rPr>
          <w:rFonts w:ascii="Times New Roman" w:hAnsi="Times New Roman"/>
          <w:sz w:val="24"/>
          <w:szCs w:val="24"/>
          <w:lang w:val="ru-RU"/>
        </w:rPr>
        <w:t xml:space="preserve">, од када је почело евидентирање изузетака </w:t>
      </w:r>
      <w:r w:rsidR="00AD254D" w:rsidRPr="00C92791">
        <w:rPr>
          <w:rFonts w:ascii="Times New Roman" w:hAnsi="Times New Roman"/>
          <w:sz w:val="24"/>
          <w:szCs w:val="24"/>
          <w:lang w:val="ru-RU"/>
        </w:rPr>
        <w:t>од стране наручилаца</w:t>
      </w:r>
      <w:r w:rsidR="000D22E7" w:rsidRPr="00C92791">
        <w:rPr>
          <w:rFonts w:ascii="Times New Roman" w:hAnsi="Times New Roman"/>
          <w:sz w:val="24"/>
          <w:szCs w:val="24"/>
          <w:lang w:val="ru-RU"/>
        </w:rPr>
        <w:t>,</w:t>
      </w:r>
      <w:r w:rsidR="00D4499C" w:rsidRPr="00C92791">
        <w:rPr>
          <w:rFonts w:ascii="Times New Roman" w:hAnsi="Times New Roman"/>
          <w:sz w:val="24"/>
          <w:szCs w:val="24"/>
          <w:lang w:val="ru-RU"/>
        </w:rPr>
        <w:t xml:space="preserve"> било 18%. И код спровођења активности на провери и спречавању </w:t>
      </w:r>
      <w:r w:rsidRPr="00C92791">
        <w:rPr>
          <w:rFonts w:ascii="Times New Roman" w:hAnsi="Times New Roman"/>
          <w:sz w:val="24"/>
          <w:szCs w:val="24"/>
          <w:lang w:val="ru-RU"/>
        </w:rPr>
        <w:t>неоправдане примене изузетака</w:t>
      </w:r>
      <w:r w:rsidR="00D4499C" w:rsidRPr="00C92791">
        <w:rPr>
          <w:rFonts w:ascii="Times New Roman" w:hAnsi="Times New Roman"/>
          <w:sz w:val="24"/>
          <w:szCs w:val="24"/>
          <w:lang w:val="ru-RU"/>
        </w:rPr>
        <w:t xml:space="preserve">, Управа се суочава са ограниченим капацитетима, имајући у виду да је реч о новој надлежности. </w:t>
      </w:r>
    </w:p>
    <w:p w:rsidR="00D4499C" w:rsidRPr="00C92791" w:rsidRDefault="00D4499C" w:rsidP="00365FDC">
      <w:pPr>
        <w:jc w:val="both"/>
        <w:rPr>
          <w:rFonts w:ascii="Times New Roman" w:hAnsi="Times New Roman"/>
          <w:sz w:val="24"/>
          <w:szCs w:val="24"/>
          <w:lang w:val="ru-RU"/>
        </w:rPr>
      </w:pPr>
      <w:r w:rsidRPr="00C92791">
        <w:rPr>
          <w:rFonts w:ascii="Times New Roman" w:hAnsi="Times New Roman"/>
          <w:sz w:val="24"/>
          <w:szCs w:val="24"/>
          <w:lang w:val="ru-RU"/>
        </w:rPr>
        <w:t xml:space="preserve">Стога би, у наредном периоду, било од значаја да ојачају капацитети </w:t>
      </w:r>
      <w:r w:rsidR="007C4321" w:rsidRPr="00C92791">
        <w:rPr>
          <w:rFonts w:ascii="Times New Roman" w:hAnsi="Times New Roman"/>
          <w:sz w:val="24"/>
          <w:szCs w:val="24"/>
          <w:lang w:val="ru-RU"/>
        </w:rPr>
        <w:t>Управе</w:t>
      </w:r>
      <w:r w:rsidRPr="00C92791">
        <w:rPr>
          <w:rFonts w:ascii="Times New Roman" w:hAnsi="Times New Roman"/>
          <w:sz w:val="24"/>
          <w:szCs w:val="24"/>
          <w:lang w:val="ru-RU"/>
        </w:rPr>
        <w:t>, пре свега они који би се бавили пословима праћења и контроле планова, закључених</w:t>
      </w:r>
      <w:r w:rsidR="00422428" w:rsidRPr="00C92791">
        <w:rPr>
          <w:rFonts w:ascii="Times New Roman" w:hAnsi="Times New Roman"/>
          <w:sz w:val="24"/>
          <w:szCs w:val="24"/>
          <w:lang w:val="ru-RU"/>
        </w:rPr>
        <w:t xml:space="preserve"> уговора и реализације уговора, као и пословима надзора над поступцима јавних набавки.       </w:t>
      </w:r>
      <w:r w:rsidRPr="00C92791">
        <w:rPr>
          <w:rFonts w:ascii="Times New Roman" w:hAnsi="Times New Roman"/>
          <w:sz w:val="24"/>
          <w:szCs w:val="24"/>
          <w:lang w:val="ru-RU"/>
        </w:rPr>
        <w:t xml:space="preserve">     </w:t>
      </w:r>
    </w:p>
    <w:p w:rsidR="00D4499C" w:rsidRPr="00C92791" w:rsidRDefault="00D4499C" w:rsidP="00365FDC">
      <w:pPr>
        <w:jc w:val="both"/>
        <w:rPr>
          <w:rFonts w:ascii="Times New Roman" w:hAnsi="Times New Roman" w:cs="Times New Roman"/>
          <w:sz w:val="24"/>
          <w:szCs w:val="24"/>
          <w:lang w:val="en-US"/>
        </w:rPr>
      </w:pPr>
      <w:r w:rsidRPr="00C92791">
        <w:rPr>
          <w:rFonts w:ascii="Times New Roman" w:hAnsi="Times New Roman" w:cs="Times New Roman"/>
          <w:sz w:val="24"/>
          <w:szCs w:val="24"/>
        </w:rPr>
        <w:t xml:space="preserve">Потребно је да </w:t>
      </w:r>
      <w:r w:rsidR="007C4321" w:rsidRPr="00C92791">
        <w:rPr>
          <w:rFonts w:ascii="Times New Roman" w:hAnsi="Times New Roman" w:cs="Times New Roman"/>
          <w:sz w:val="24"/>
          <w:szCs w:val="24"/>
          <w:lang w:val="sr-Cyrl-RS"/>
        </w:rPr>
        <w:t>Управа</w:t>
      </w:r>
      <w:r w:rsidRPr="00C92791">
        <w:rPr>
          <w:rFonts w:ascii="Times New Roman" w:hAnsi="Times New Roman" w:cs="Times New Roman"/>
          <w:sz w:val="24"/>
          <w:szCs w:val="24"/>
        </w:rPr>
        <w:t xml:space="preserve"> запосли </w:t>
      </w:r>
      <w:r w:rsidR="0007333C" w:rsidRPr="00C92791">
        <w:rPr>
          <w:rFonts w:ascii="Times New Roman" w:hAnsi="Times New Roman" w:cs="Times New Roman"/>
          <w:sz w:val="24"/>
          <w:szCs w:val="24"/>
          <w:lang w:val="sr-Cyrl-CS"/>
        </w:rPr>
        <w:t>20</w:t>
      </w:r>
      <w:r w:rsidRPr="00C92791">
        <w:rPr>
          <w:rFonts w:ascii="Times New Roman" w:hAnsi="Times New Roman" w:cs="Times New Roman"/>
          <w:sz w:val="24"/>
          <w:szCs w:val="24"/>
        </w:rPr>
        <w:t xml:space="preserve"> нових службеника, та</w:t>
      </w:r>
      <w:r w:rsidR="007C4321" w:rsidRPr="00C92791">
        <w:rPr>
          <w:rFonts w:ascii="Times New Roman" w:hAnsi="Times New Roman" w:cs="Times New Roman"/>
          <w:sz w:val="24"/>
          <w:szCs w:val="24"/>
        </w:rPr>
        <w:t xml:space="preserve">ко да укупан број запослених </w:t>
      </w:r>
      <w:r w:rsidRPr="00C92791">
        <w:rPr>
          <w:rFonts w:ascii="Times New Roman" w:hAnsi="Times New Roman" w:cs="Times New Roman"/>
          <w:sz w:val="24"/>
          <w:szCs w:val="24"/>
        </w:rPr>
        <w:t xml:space="preserve">буде </w:t>
      </w:r>
      <w:r w:rsidR="0007333C" w:rsidRPr="00C92791">
        <w:rPr>
          <w:rFonts w:ascii="Times New Roman" w:hAnsi="Times New Roman" w:cs="Times New Roman"/>
          <w:sz w:val="24"/>
          <w:szCs w:val="24"/>
          <w:lang w:val="sr-Cyrl-CS"/>
        </w:rPr>
        <w:t>48</w:t>
      </w:r>
      <w:r w:rsidRPr="00C92791">
        <w:rPr>
          <w:rFonts w:ascii="Times New Roman" w:hAnsi="Times New Roman" w:cs="Times New Roman"/>
          <w:sz w:val="24"/>
          <w:szCs w:val="24"/>
        </w:rPr>
        <w:t>. Да би се ово реализовало, неопходно је да Влада усвоји измену Одлуке о максималном броју запос</w:t>
      </w:r>
      <w:r w:rsidR="0057324A" w:rsidRPr="00C92791">
        <w:rPr>
          <w:rFonts w:ascii="Times New Roman" w:hAnsi="Times New Roman" w:cs="Times New Roman"/>
          <w:sz w:val="24"/>
          <w:szCs w:val="24"/>
        </w:rPr>
        <w:t>лених у органима државне управе</w:t>
      </w:r>
      <w:r w:rsidR="0057324A" w:rsidRPr="00C92791">
        <w:rPr>
          <w:rFonts w:ascii="Times New Roman" w:hAnsi="Times New Roman" w:cs="Times New Roman"/>
          <w:sz w:val="24"/>
          <w:szCs w:val="24"/>
          <w:lang w:val="sr-Cyrl-CS"/>
        </w:rPr>
        <w:t xml:space="preserve">, </w:t>
      </w:r>
      <w:r w:rsidR="0057324A" w:rsidRPr="00C92791">
        <w:rPr>
          <w:rFonts w:ascii="Times New Roman" w:hAnsi="Times New Roman" w:cs="Times New Roman"/>
          <w:sz w:val="24"/>
          <w:szCs w:val="24"/>
        </w:rPr>
        <w:t xml:space="preserve">јавним агенцијама и организацијама за обавезно социјално осигурање </w:t>
      </w:r>
      <w:r w:rsidRPr="00C92791">
        <w:rPr>
          <w:rFonts w:ascii="Times New Roman" w:hAnsi="Times New Roman" w:cs="Times New Roman"/>
          <w:sz w:val="24"/>
          <w:szCs w:val="24"/>
        </w:rPr>
        <w:t xml:space="preserve">и одобри </w:t>
      </w:r>
      <w:r w:rsidR="007C4321" w:rsidRPr="00C92791">
        <w:rPr>
          <w:rFonts w:ascii="Times New Roman" w:hAnsi="Times New Roman" w:cs="Times New Roman"/>
          <w:sz w:val="24"/>
          <w:szCs w:val="24"/>
          <w:lang w:val="sr-Cyrl-RS"/>
        </w:rPr>
        <w:t>Управи</w:t>
      </w:r>
      <w:r w:rsidRPr="00C92791">
        <w:rPr>
          <w:rFonts w:ascii="Times New Roman" w:hAnsi="Times New Roman" w:cs="Times New Roman"/>
          <w:sz w:val="24"/>
          <w:szCs w:val="24"/>
        </w:rPr>
        <w:t xml:space="preserve"> да укупно има </w:t>
      </w:r>
      <w:r w:rsidR="003455C5" w:rsidRPr="00C92791">
        <w:rPr>
          <w:rFonts w:ascii="Times New Roman" w:hAnsi="Times New Roman" w:cs="Times New Roman"/>
          <w:sz w:val="24"/>
          <w:szCs w:val="24"/>
          <w:lang w:val="sr-Cyrl-CS"/>
        </w:rPr>
        <w:t>48</w:t>
      </w:r>
      <w:r w:rsidRPr="00C92791">
        <w:rPr>
          <w:rFonts w:ascii="Times New Roman" w:hAnsi="Times New Roman" w:cs="Times New Roman"/>
          <w:sz w:val="24"/>
          <w:szCs w:val="24"/>
        </w:rPr>
        <w:t xml:space="preserve"> запослених, а да за </w:t>
      </w:r>
      <w:r w:rsidR="00347040" w:rsidRPr="00C92791">
        <w:rPr>
          <w:rFonts w:ascii="Times New Roman" w:hAnsi="Times New Roman" w:cs="Times New Roman"/>
          <w:sz w:val="24"/>
          <w:szCs w:val="24"/>
          <w:lang w:val="sr-Cyrl-CS"/>
        </w:rPr>
        <w:t>20</w:t>
      </w:r>
      <w:r w:rsidRPr="00C92791">
        <w:rPr>
          <w:rFonts w:ascii="Times New Roman" w:hAnsi="Times New Roman" w:cs="Times New Roman"/>
          <w:sz w:val="24"/>
          <w:szCs w:val="24"/>
        </w:rPr>
        <w:t xml:space="preserve"> смањи број запослених у органима и организацијама где се утврди да постоји вишак запослених.  </w:t>
      </w:r>
    </w:p>
    <w:p w:rsidR="00D4499C" w:rsidRPr="00C92791" w:rsidRDefault="00D4499C" w:rsidP="00365FDC">
      <w:pPr>
        <w:jc w:val="both"/>
        <w:rPr>
          <w:rFonts w:ascii="Times New Roman" w:hAnsi="Times New Roman" w:cs="Times New Roman"/>
          <w:sz w:val="24"/>
          <w:szCs w:val="24"/>
        </w:rPr>
      </w:pPr>
      <w:r w:rsidRPr="00C92791">
        <w:rPr>
          <w:rFonts w:ascii="Times New Roman" w:hAnsi="Times New Roman" w:cs="Times New Roman"/>
          <w:sz w:val="24"/>
          <w:szCs w:val="24"/>
        </w:rPr>
        <w:t xml:space="preserve">Поред квантитативног, потребно је и квалитативно јачање кадровских капацитета, </w:t>
      </w:r>
      <w:r w:rsidR="005D4C68" w:rsidRPr="00C92791">
        <w:rPr>
          <w:rFonts w:ascii="Times New Roman" w:hAnsi="Times New Roman" w:cs="Times New Roman"/>
          <w:sz w:val="24"/>
          <w:szCs w:val="24"/>
          <w:lang w:val="sr-Cyrl-RS"/>
        </w:rPr>
        <w:t xml:space="preserve">а пре свега из разлога </w:t>
      </w:r>
      <w:r w:rsidRPr="00C92791">
        <w:rPr>
          <w:rFonts w:ascii="Times New Roman" w:hAnsi="Times New Roman" w:cs="Times New Roman"/>
          <w:sz w:val="24"/>
          <w:szCs w:val="24"/>
        </w:rPr>
        <w:t xml:space="preserve">праћења и ефикасне контроле јавних набавки. Због неконкурентног статуса запослених у </w:t>
      </w:r>
      <w:r w:rsidR="00C32DD2" w:rsidRPr="00C92791">
        <w:rPr>
          <w:rFonts w:ascii="Times New Roman" w:hAnsi="Times New Roman" w:cs="Times New Roman"/>
          <w:sz w:val="24"/>
          <w:szCs w:val="24"/>
          <w:lang w:val="sr-Cyrl-RS"/>
        </w:rPr>
        <w:t>Управи</w:t>
      </w:r>
      <w:r w:rsidRPr="00C92791">
        <w:rPr>
          <w:rFonts w:ascii="Times New Roman" w:hAnsi="Times New Roman" w:cs="Times New Roman"/>
          <w:sz w:val="24"/>
          <w:szCs w:val="24"/>
        </w:rPr>
        <w:t xml:space="preserve"> у односу на друге институције, током протеклих годину дана дошл</w:t>
      </w:r>
      <w:r w:rsidR="00C32DD2" w:rsidRPr="00C92791">
        <w:rPr>
          <w:rFonts w:ascii="Times New Roman" w:hAnsi="Times New Roman" w:cs="Times New Roman"/>
          <w:sz w:val="24"/>
          <w:szCs w:val="24"/>
        </w:rPr>
        <w:t xml:space="preserve">о је до одласка 4 запослена службеника </w:t>
      </w:r>
      <w:r w:rsidRPr="00C92791">
        <w:rPr>
          <w:rFonts w:ascii="Times New Roman" w:hAnsi="Times New Roman" w:cs="Times New Roman"/>
          <w:sz w:val="24"/>
          <w:szCs w:val="24"/>
        </w:rPr>
        <w:t xml:space="preserve"> и њиховог преласка на рад код наручилаца који су могли да понуде значајно боље накнаде за рад, чиме су кадровски капацитети </w:t>
      </w:r>
      <w:r w:rsidR="00C32DD2" w:rsidRPr="00C92791">
        <w:rPr>
          <w:rFonts w:ascii="Times New Roman" w:hAnsi="Times New Roman" w:cs="Times New Roman"/>
          <w:sz w:val="24"/>
          <w:szCs w:val="24"/>
          <w:lang w:val="sr-Cyrl-RS"/>
        </w:rPr>
        <w:t xml:space="preserve">Управе </w:t>
      </w:r>
      <w:r w:rsidRPr="00C92791">
        <w:rPr>
          <w:rFonts w:ascii="Times New Roman" w:hAnsi="Times New Roman" w:cs="Times New Roman"/>
          <w:sz w:val="24"/>
          <w:szCs w:val="24"/>
        </w:rPr>
        <w:t xml:space="preserve">смањени за 1/5. </w:t>
      </w:r>
    </w:p>
    <w:p w:rsidR="00D4499C" w:rsidRDefault="00D4499C" w:rsidP="00365FDC">
      <w:pPr>
        <w:jc w:val="both"/>
        <w:rPr>
          <w:rFonts w:ascii="Times New Roman" w:hAnsi="Times New Roman" w:cs="Times New Roman"/>
          <w:sz w:val="24"/>
          <w:szCs w:val="24"/>
        </w:rPr>
      </w:pPr>
      <w:r w:rsidRPr="00C92791">
        <w:rPr>
          <w:rFonts w:ascii="Times New Roman" w:hAnsi="Times New Roman" w:cs="Times New Roman"/>
          <w:sz w:val="24"/>
          <w:szCs w:val="24"/>
        </w:rPr>
        <w:t xml:space="preserve">Стога је неопходно, у циљу јачања кадровских капацитета </w:t>
      </w:r>
      <w:r w:rsidR="00C32DD2" w:rsidRPr="00C92791">
        <w:rPr>
          <w:rFonts w:ascii="Times New Roman" w:hAnsi="Times New Roman" w:cs="Times New Roman"/>
          <w:sz w:val="24"/>
          <w:szCs w:val="24"/>
          <w:lang w:val="sr-Cyrl-RS"/>
        </w:rPr>
        <w:t>Управе</w:t>
      </w:r>
      <w:r w:rsidRPr="00C92791">
        <w:rPr>
          <w:rFonts w:ascii="Times New Roman" w:hAnsi="Times New Roman" w:cs="Times New Roman"/>
          <w:sz w:val="24"/>
          <w:szCs w:val="24"/>
        </w:rPr>
        <w:t xml:space="preserve">, да се </w:t>
      </w:r>
      <w:r w:rsidR="00C32DD2" w:rsidRPr="00C92791">
        <w:rPr>
          <w:rFonts w:ascii="Times New Roman" w:hAnsi="Times New Roman" w:cs="Times New Roman"/>
          <w:sz w:val="24"/>
          <w:szCs w:val="24"/>
          <w:lang w:val="sr-Cyrl-RS"/>
        </w:rPr>
        <w:t xml:space="preserve">њеним </w:t>
      </w:r>
      <w:r w:rsidRPr="00C92791">
        <w:rPr>
          <w:rFonts w:ascii="Times New Roman" w:hAnsi="Times New Roman" w:cs="Times New Roman"/>
          <w:sz w:val="24"/>
          <w:szCs w:val="24"/>
        </w:rPr>
        <w:t xml:space="preserve">запосленима омогући статус који ће бити упоредив са оним који имају запослени у другим регулаторним телима, попут: Републичке комисије за заштиту права у поступцима јавних набавки, </w:t>
      </w:r>
      <w:r w:rsidR="00C32DD2" w:rsidRPr="00C92791">
        <w:rPr>
          <w:rFonts w:ascii="Times New Roman" w:hAnsi="Times New Roman" w:cs="Times New Roman"/>
          <w:sz w:val="24"/>
          <w:szCs w:val="24"/>
          <w:lang w:val="sr-Cyrl-RS"/>
        </w:rPr>
        <w:t>ДРИ</w:t>
      </w:r>
      <w:r w:rsidRPr="00C92791">
        <w:rPr>
          <w:rFonts w:ascii="Times New Roman" w:hAnsi="Times New Roman" w:cs="Times New Roman"/>
          <w:sz w:val="24"/>
          <w:szCs w:val="24"/>
        </w:rPr>
        <w:t>, као и других Владиних тела</w:t>
      </w:r>
      <w:r>
        <w:rPr>
          <w:rFonts w:ascii="Times New Roman" w:hAnsi="Times New Roman" w:cs="Times New Roman"/>
          <w:sz w:val="24"/>
          <w:szCs w:val="24"/>
        </w:rPr>
        <w:t xml:space="preserve"> која испуњавају услове из Уредбе Владе о разврставању радних места. Наиме, Уредба предвиђа могућност да 15% државних службеника у органу ради на радном месту у звању вишег саветника, а 30% у звању самосталног саветника, „уколико дође до измене делокруга органа услед преузимања послова“. С обзиром да су надлежности Управе значајн</w:t>
      </w:r>
      <w:r w:rsidR="00C32DD2">
        <w:rPr>
          <w:rFonts w:ascii="Times New Roman" w:hAnsi="Times New Roman" w:cs="Times New Roman"/>
          <w:sz w:val="24"/>
          <w:szCs w:val="24"/>
        </w:rPr>
        <w:t xml:space="preserve">о проширене тако што су, новим </w:t>
      </w:r>
      <w:r w:rsidR="00C32DD2">
        <w:rPr>
          <w:rFonts w:ascii="Times New Roman" w:hAnsi="Times New Roman" w:cs="Times New Roman"/>
          <w:sz w:val="24"/>
          <w:szCs w:val="24"/>
          <w:lang w:val="sr-Cyrl-RS"/>
        </w:rPr>
        <w:t>З</w:t>
      </w:r>
      <w:r>
        <w:rPr>
          <w:rFonts w:ascii="Times New Roman" w:hAnsi="Times New Roman" w:cs="Times New Roman"/>
          <w:sz w:val="24"/>
          <w:szCs w:val="24"/>
        </w:rPr>
        <w:t xml:space="preserve">аконом, прешле са Министарства финансија на </w:t>
      </w:r>
      <w:r w:rsidR="00C32DD2">
        <w:rPr>
          <w:rFonts w:ascii="Times New Roman" w:hAnsi="Times New Roman" w:cs="Times New Roman"/>
          <w:sz w:val="24"/>
          <w:szCs w:val="24"/>
          <w:lang w:val="sr-Cyrl-RS"/>
        </w:rPr>
        <w:t>Управу</w:t>
      </w:r>
      <w:r>
        <w:rPr>
          <w:rFonts w:ascii="Times New Roman" w:hAnsi="Times New Roman" w:cs="Times New Roman"/>
          <w:sz w:val="24"/>
          <w:szCs w:val="24"/>
        </w:rPr>
        <w:t xml:space="preserve">, потребно је да Влада омогући да се ова одредба Уредбе примени и на </w:t>
      </w:r>
      <w:r w:rsidR="00C32DD2">
        <w:rPr>
          <w:rFonts w:ascii="Times New Roman" w:hAnsi="Times New Roman" w:cs="Times New Roman"/>
          <w:sz w:val="24"/>
          <w:szCs w:val="24"/>
          <w:lang w:val="sr-Cyrl-RS"/>
        </w:rPr>
        <w:t>Управу</w:t>
      </w:r>
      <w:r>
        <w:rPr>
          <w:rFonts w:ascii="Times New Roman" w:hAnsi="Times New Roman" w:cs="Times New Roman"/>
          <w:sz w:val="24"/>
          <w:szCs w:val="24"/>
        </w:rPr>
        <w:t xml:space="preserve">.    </w:t>
      </w:r>
    </w:p>
    <w:p w:rsidR="00280F6B" w:rsidRPr="00DE522E" w:rsidRDefault="00D4499C" w:rsidP="00365FDC">
      <w:pPr>
        <w:jc w:val="both"/>
        <w:rPr>
          <w:rFonts w:ascii="Times New Roman" w:hAnsi="Times New Roman" w:cs="Times New Roman"/>
          <w:sz w:val="24"/>
          <w:szCs w:val="24"/>
          <w:lang w:val="sr-Cyrl-RS"/>
        </w:rPr>
      </w:pPr>
      <w:r>
        <w:rPr>
          <w:rFonts w:ascii="Times New Roman" w:hAnsi="Times New Roman" w:cs="Times New Roman"/>
          <w:sz w:val="24"/>
          <w:szCs w:val="24"/>
        </w:rPr>
        <w:t xml:space="preserve">Такође је неопходно да Влада обезбеди </w:t>
      </w:r>
      <w:r w:rsidR="00C32DD2">
        <w:rPr>
          <w:rFonts w:ascii="Times New Roman" w:hAnsi="Times New Roman" w:cs="Times New Roman"/>
          <w:sz w:val="24"/>
          <w:szCs w:val="24"/>
          <w:lang w:val="sr-Cyrl-RS"/>
        </w:rPr>
        <w:t>Управи</w:t>
      </w:r>
      <w:r>
        <w:rPr>
          <w:rFonts w:ascii="Times New Roman" w:hAnsi="Times New Roman" w:cs="Times New Roman"/>
          <w:sz w:val="24"/>
          <w:szCs w:val="24"/>
        </w:rPr>
        <w:t xml:space="preserve"> и просторије за смештај запослених које ће, по локацији и техничкој опремљености, одговарати пословима које Управа обавља.  </w:t>
      </w:r>
    </w:p>
    <w:sectPr w:rsidR="00280F6B" w:rsidRPr="00DE522E" w:rsidSect="00FC3DDD">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E64" w:rsidRDefault="00397E64" w:rsidP="00AA1254">
      <w:pPr>
        <w:spacing w:after="0" w:line="240" w:lineRule="auto"/>
      </w:pPr>
      <w:r>
        <w:separator/>
      </w:r>
    </w:p>
  </w:endnote>
  <w:endnote w:type="continuationSeparator" w:id="0">
    <w:p w:rsidR="00397E64" w:rsidRDefault="00397E64" w:rsidP="00AA12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 New Roman CYR">
    <w:altName w:val="Times New Roman"/>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8576383"/>
      <w:docPartObj>
        <w:docPartGallery w:val="Page Numbers (Bottom of Page)"/>
        <w:docPartUnique/>
      </w:docPartObj>
    </w:sdtPr>
    <w:sdtEndPr>
      <w:rPr>
        <w:noProof/>
      </w:rPr>
    </w:sdtEndPr>
    <w:sdtContent>
      <w:p w:rsidR="00A119C7" w:rsidRDefault="00A119C7">
        <w:pPr>
          <w:pStyle w:val="Footer"/>
          <w:jc w:val="right"/>
        </w:pPr>
        <w:r>
          <w:fldChar w:fldCharType="begin"/>
        </w:r>
        <w:r>
          <w:instrText xml:space="preserve"> PAGE   \* MERGEFORMAT </w:instrText>
        </w:r>
        <w:r>
          <w:fldChar w:fldCharType="separate"/>
        </w:r>
        <w:r w:rsidR="00010D15">
          <w:rPr>
            <w:noProof/>
          </w:rPr>
          <w:t>19</w:t>
        </w:r>
        <w:r>
          <w:rPr>
            <w:noProof/>
          </w:rPr>
          <w:fldChar w:fldCharType="end"/>
        </w:r>
      </w:p>
    </w:sdtContent>
  </w:sdt>
  <w:p w:rsidR="00A119C7" w:rsidRDefault="00A119C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E64" w:rsidRDefault="00397E64" w:rsidP="00AA1254">
      <w:pPr>
        <w:spacing w:after="0" w:line="240" w:lineRule="auto"/>
      </w:pPr>
      <w:r>
        <w:separator/>
      </w:r>
    </w:p>
  </w:footnote>
  <w:footnote w:type="continuationSeparator" w:id="0">
    <w:p w:rsidR="00397E64" w:rsidRDefault="00397E64" w:rsidP="00AA1254">
      <w:pPr>
        <w:spacing w:after="0" w:line="240" w:lineRule="auto"/>
      </w:pPr>
      <w:r>
        <w:continuationSeparator/>
      </w:r>
    </w:p>
  </w:footnote>
  <w:footnote w:id="1">
    <w:p w:rsidR="00A119C7" w:rsidRPr="00867110" w:rsidRDefault="00A119C7">
      <w:pPr>
        <w:pStyle w:val="FootnoteText"/>
      </w:pPr>
      <w:r>
        <w:rPr>
          <w:rStyle w:val="FootnoteReference"/>
        </w:rPr>
        <w:footnoteRef/>
      </w:r>
      <w:r>
        <w:rPr>
          <w:rFonts w:ascii="Times New Roman" w:hAnsi="Times New Roman" w:cs="Times New Roman"/>
          <w:sz w:val="22"/>
          <w:szCs w:val="22"/>
          <w:lang w:val="sr-Cyrl-RS"/>
        </w:rPr>
        <w:t xml:space="preserve"> </w:t>
      </w:r>
      <w:r w:rsidRPr="00B43E94">
        <w:rPr>
          <w:rFonts w:ascii="Times New Roman" w:hAnsi="Times New Roman" w:cs="Times New Roman"/>
          <w:sz w:val="22"/>
          <w:szCs w:val="22"/>
        </w:rPr>
        <w:t>Други кључни п</w:t>
      </w:r>
      <w:r>
        <w:rPr>
          <w:rFonts w:ascii="Times New Roman" w:hAnsi="Times New Roman" w:cs="Times New Roman"/>
          <w:sz w:val="22"/>
          <w:szCs w:val="22"/>
        </w:rPr>
        <w:t xml:space="preserve">араметар су изузећа од примене </w:t>
      </w:r>
      <w:r>
        <w:rPr>
          <w:rFonts w:ascii="Times New Roman" w:hAnsi="Times New Roman" w:cs="Times New Roman"/>
          <w:sz w:val="22"/>
          <w:szCs w:val="22"/>
          <w:lang w:val="sr-Cyrl-RS"/>
        </w:rPr>
        <w:t>З</w:t>
      </w:r>
      <w:r w:rsidRPr="00B43E94">
        <w:rPr>
          <w:rFonts w:ascii="Times New Roman" w:hAnsi="Times New Roman" w:cs="Times New Roman"/>
          <w:sz w:val="22"/>
          <w:szCs w:val="22"/>
        </w:rPr>
        <w:t>акона.</w:t>
      </w:r>
    </w:p>
  </w:footnote>
  <w:footnote w:id="2">
    <w:p w:rsidR="00A119C7" w:rsidRPr="00646862" w:rsidRDefault="00A119C7" w:rsidP="00646862">
      <w:pPr>
        <w:pStyle w:val="FootnoteText"/>
      </w:pPr>
      <w:r>
        <w:rPr>
          <w:rStyle w:val="FootnoteReference"/>
        </w:rPr>
        <w:footnoteRef/>
      </w:r>
      <w:r>
        <w:rPr>
          <w:rFonts w:ascii="Times New Roman" w:hAnsi="Times New Roman" w:cs="Times New Roman"/>
          <w:lang w:val="sr-Cyrl-RS"/>
        </w:rPr>
        <w:t xml:space="preserve"> </w:t>
      </w:r>
      <w:r>
        <w:rPr>
          <w:rFonts w:ascii="Times New Roman" w:hAnsi="Times New Roman" w:cs="Times New Roman"/>
        </w:rPr>
        <w:t>Извештај о јавним набавкама у Црној Гори за 2012. годину</w:t>
      </w:r>
      <w:r>
        <w:t xml:space="preserve"> :</w:t>
      </w:r>
    </w:p>
    <w:p w:rsidR="00A119C7" w:rsidRPr="00646862" w:rsidRDefault="00A119C7" w:rsidP="00646862">
      <w:pPr>
        <w:pStyle w:val="FootnoteText"/>
        <w:rPr>
          <w:rFonts w:ascii="Times New Roman" w:hAnsi="Times New Roman" w:cs="Times New Roman"/>
        </w:rPr>
      </w:pPr>
      <w:hyperlink r:id="rId1" w:history="1">
        <w:r w:rsidRPr="008D4254">
          <w:rPr>
            <w:rStyle w:val="Hyperlink"/>
          </w:rPr>
          <w:t>http://www.ujn.gov.me/wp-content/uploads/2013/07/Izvjestaj2012.pd</w:t>
        </w:r>
        <w:r w:rsidRPr="008D4254">
          <w:rPr>
            <w:rStyle w:val="Hyperlink"/>
            <w:lang w:val="sr-Cyrl-RS"/>
          </w:rPr>
          <w:t xml:space="preserve"> </w:t>
        </w:r>
        <w:r w:rsidRPr="008D4254">
          <w:rPr>
            <w:rStyle w:val="Hyperlink"/>
          </w:rPr>
          <w:t>f</w:t>
        </w:r>
      </w:hyperlink>
      <w:r w:rsidRPr="00646862">
        <w:rPr>
          <w:rFonts w:ascii="Times New Roman" w:hAnsi="Times New Roman" w:cs="Times New Roman"/>
        </w:rPr>
        <w:t>графикон 8, страна 58-59</w:t>
      </w:r>
    </w:p>
  </w:footnote>
  <w:footnote w:id="3">
    <w:p w:rsidR="00A119C7" w:rsidRPr="0098735A" w:rsidRDefault="00A119C7">
      <w:pPr>
        <w:pStyle w:val="FootnoteText"/>
      </w:pPr>
      <w:r>
        <w:rPr>
          <w:rStyle w:val="FootnoteReference"/>
        </w:rPr>
        <w:footnoteRef/>
      </w:r>
      <w:r w:rsidRPr="007E1FAD">
        <w:rPr>
          <w:rFonts w:ascii="Times New Roman" w:hAnsi="Times New Roman" w:cs="Times New Roman"/>
          <w:sz w:val="22"/>
          <w:szCs w:val="22"/>
        </w:rPr>
        <w:t>Извор: Статистички годишњи извештај о јавним набавкама за 201</w:t>
      </w:r>
      <w:r>
        <w:rPr>
          <w:rFonts w:ascii="Times New Roman" w:hAnsi="Times New Roman" w:cs="Times New Roman"/>
          <w:sz w:val="22"/>
          <w:szCs w:val="22"/>
        </w:rPr>
        <w:t>2</w:t>
      </w:r>
      <w:r w:rsidRPr="007E1FAD">
        <w:rPr>
          <w:rFonts w:ascii="Times New Roman" w:hAnsi="Times New Roman" w:cs="Times New Roman"/>
          <w:sz w:val="22"/>
          <w:szCs w:val="22"/>
        </w:rPr>
        <w:t>. годину, Портал јавних набавки, Република Хрватска</w:t>
      </w:r>
      <w:r>
        <w:rPr>
          <w:rFonts w:ascii="Times New Roman" w:hAnsi="Times New Roman" w:cs="Times New Roman"/>
          <w:sz w:val="22"/>
          <w:szCs w:val="22"/>
        </w:rPr>
        <w:t>,страна 31, л</w:t>
      </w:r>
      <w:r w:rsidRPr="001453FB">
        <w:rPr>
          <w:rFonts w:ascii="Times New Roman" w:hAnsi="Times New Roman" w:cs="Times New Roman"/>
          <w:sz w:val="22"/>
          <w:szCs w:val="22"/>
        </w:rPr>
        <w:t>инк:</w:t>
      </w:r>
      <w:hyperlink r:id="rId2" w:history="1">
        <w:r w:rsidRPr="00E75767">
          <w:rPr>
            <w:rStyle w:val="Hyperlink"/>
            <w:rFonts w:ascii="Times New Roman" w:hAnsi="Times New Roman" w:cs="Times New Roman"/>
            <w:sz w:val="22"/>
            <w:szCs w:val="22"/>
          </w:rPr>
          <w:t>http://www.javnanabava.hr/userdocsimages/userfiles/file/Statistička%20izvješća/Godišnja/Statisticko_izvjesce_JN-2012.pdf</w:t>
        </w:r>
      </w:hyperlink>
    </w:p>
  </w:footnote>
  <w:footnote w:id="4">
    <w:p w:rsidR="00A119C7" w:rsidRDefault="00A119C7" w:rsidP="0098735A">
      <w:pPr>
        <w:pStyle w:val="FootnoteText"/>
        <w:rPr>
          <w:rFonts w:ascii="Times New Roman" w:hAnsi="Times New Roman" w:cs="Times New Roman"/>
          <w:sz w:val="22"/>
          <w:szCs w:val="22"/>
        </w:rPr>
      </w:pPr>
      <w:r w:rsidRPr="001453FB">
        <w:rPr>
          <w:rStyle w:val="FootnoteReference"/>
          <w:rFonts w:ascii="Times New Roman" w:hAnsi="Times New Roman" w:cs="Times New Roman"/>
          <w:sz w:val="22"/>
          <w:szCs w:val="22"/>
        </w:rPr>
        <w:footnoteRef/>
      </w:r>
      <w:r>
        <w:rPr>
          <w:rFonts w:ascii="Times New Roman" w:hAnsi="Times New Roman" w:cs="Times New Roman"/>
          <w:sz w:val="22"/>
          <w:szCs w:val="22"/>
        </w:rPr>
        <w:t xml:space="preserve"> Исто</w:t>
      </w:r>
    </w:p>
    <w:p w:rsidR="00A119C7" w:rsidRDefault="00A119C7" w:rsidP="00E83A48">
      <w:pPr>
        <w:pStyle w:val="FootnoteText"/>
      </w:pPr>
      <w:r>
        <w:rPr>
          <w:rStyle w:val="FootnoteReference"/>
        </w:rPr>
        <w:t>5</w:t>
      </w:r>
      <w:r>
        <w:rPr>
          <w:lang w:val="sr-Cyrl-RS"/>
        </w:rPr>
        <w:t xml:space="preserve"> </w:t>
      </w:r>
      <w:r>
        <w:rPr>
          <w:rFonts w:ascii="Times New Roman" w:hAnsi="Times New Roman" w:cs="Times New Roman"/>
        </w:rPr>
        <w:t>Извештај о јавним набавкама у Црној Гори за 2013. годину</w:t>
      </w:r>
    </w:p>
    <w:p w:rsidR="00A119C7" w:rsidRPr="00E83A48" w:rsidRDefault="00A119C7" w:rsidP="00E83A48">
      <w:pPr>
        <w:pStyle w:val="FootnoteText"/>
        <w:rPr>
          <w:rFonts w:ascii="Times New Roman" w:hAnsi="Times New Roman" w:cs="Times New Roman"/>
          <w:sz w:val="22"/>
          <w:szCs w:val="22"/>
        </w:rPr>
      </w:pPr>
      <w:hyperlink r:id="rId3" w:history="1">
        <w:r w:rsidRPr="00A62A86">
          <w:rPr>
            <w:rStyle w:val="Hyperlink"/>
          </w:rPr>
          <w:t>http://www.ujn.gov.me/wp-content/uploads/2014/06/Izvjestaj2013.pdf</w:t>
        </w:r>
      </w:hyperlink>
    </w:p>
  </w:footnote>
  <w:footnote w:id="5">
    <w:p w:rsidR="00A119C7" w:rsidRDefault="00A119C7" w:rsidP="00E83A48">
      <w:pPr>
        <w:pStyle w:val="FootnoteText"/>
      </w:pPr>
    </w:p>
    <w:p w:rsidR="00A119C7" w:rsidRPr="00E83A48" w:rsidRDefault="00A119C7" w:rsidP="00E83A48">
      <w:pPr>
        <w:pStyle w:val="FootnoteText"/>
      </w:pPr>
    </w:p>
    <w:p w:rsidR="00A119C7" w:rsidRPr="00FA77D4" w:rsidRDefault="00A119C7" w:rsidP="00E83A48">
      <w:pPr>
        <w:pStyle w:val="FootnoteText"/>
      </w:pPr>
    </w:p>
  </w:footnote>
  <w:footnote w:id="6">
    <w:p w:rsidR="00A119C7" w:rsidRPr="00D954B5" w:rsidRDefault="00A119C7" w:rsidP="007339A4">
      <w:pPr>
        <w:pStyle w:val="FootnoteText"/>
        <w:jc w:val="both"/>
        <w:rPr>
          <w:rFonts w:ascii="Times New Roman" w:hAnsi="Times New Roman" w:cs="Times New Roman"/>
          <w:sz w:val="22"/>
          <w:szCs w:val="22"/>
        </w:rPr>
      </w:pPr>
      <w:r>
        <w:rPr>
          <w:rStyle w:val="FootnoteReference"/>
        </w:rPr>
        <w:footnoteRef/>
      </w:r>
      <w:r w:rsidRPr="00D954B5">
        <w:rPr>
          <w:rFonts w:ascii="Times New Roman" w:hAnsi="Times New Roman" w:cs="Times New Roman"/>
          <w:sz w:val="22"/>
          <w:szCs w:val="22"/>
        </w:rPr>
        <w:t xml:space="preserve">Од 516 </w:t>
      </w:r>
      <w:r>
        <w:rPr>
          <w:rFonts w:ascii="Times New Roman" w:hAnsi="Times New Roman" w:cs="Times New Roman"/>
          <w:sz w:val="22"/>
          <w:szCs w:val="22"/>
        </w:rPr>
        <w:t xml:space="preserve">захтева за заштиту права </w:t>
      </w:r>
      <w:r w:rsidRPr="00D954B5">
        <w:rPr>
          <w:rFonts w:ascii="Times New Roman" w:hAnsi="Times New Roman" w:cs="Times New Roman"/>
          <w:sz w:val="22"/>
          <w:szCs w:val="22"/>
        </w:rPr>
        <w:t xml:space="preserve">приспелих словеначкој Републичкој комисији за заштиту права у 2012. години, усвојено је 210 </w:t>
      </w:r>
      <w:r>
        <w:rPr>
          <w:rFonts w:ascii="Times New Roman" w:hAnsi="Times New Roman" w:cs="Times New Roman"/>
          <w:sz w:val="22"/>
          <w:szCs w:val="22"/>
        </w:rPr>
        <w:t xml:space="preserve">захтева, </w:t>
      </w:r>
      <w:r w:rsidRPr="00D954B5">
        <w:rPr>
          <w:rFonts w:ascii="Times New Roman" w:hAnsi="Times New Roman" w:cs="Times New Roman"/>
          <w:sz w:val="22"/>
          <w:szCs w:val="22"/>
        </w:rPr>
        <w:t>што је 40%. С обзиром да је укупан број поступака био 4.850</w:t>
      </w:r>
      <w:r>
        <w:rPr>
          <w:rFonts w:ascii="Times New Roman" w:hAnsi="Times New Roman" w:cs="Times New Roman"/>
          <w:sz w:val="22"/>
          <w:szCs w:val="22"/>
        </w:rPr>
        <w:t>,</w:t>
      </w:r>
      <w:r w:rsidRPr="00D954B5">
        <w:rPr>
          <w:rFonts w:ascii="Times New Roman" w:hAnsi="Times New Roman" w:cs="Times New Roman"/>
          <w:sz w:val="22"/>
          <w:szCs w:val="22"/>
        </w:rPr>
        <w:t xml:space="preserve"> произлази да је било поништено 4% поступака.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30E0"/>
    <w:multiLevelType w:val="hybridMultilevel"/>
    <w:tmpl w:val="94BEC72E"/>
    <w:lvl w:ilvl="0" w:tplc="F93C04DA">
      <w:start w:val="69"/>
      <w:numFmt w:val="bullet"/>
      <w:lvlText w:val=""/>
      <w:lvlJc w:val="left"/>
      <w:pPr>
        <w:ind w:left="720" w:hanging="360"/>
      </w:pPr>
      <w:rPr>
        <w:rFonts w:ascii="Symbol" w:eastAsiaTheme="minorEastAsia" w:hAnsi="Symbol"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03DD6BAA"/>
    <w:multiLevelType w:val="hybridMultilevel"/>
    <w:tmpl w:val="1DE8B3A4"/>
    <w:lvl w:ilvl="0" w:tplc="241A000F">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
    <w:nsid w:val="06A34B13"/>
    <w:multiLevelType w:val="hybridMultilevel"/>
    <w:tmpl w:val="1DE8B3A4"/>
    <w:lvl w:ilvl="0" w:tplc="241A000F">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3">
    <w:nsid w:val="3CDD3600"/>
    <w:multiLevelType w:val="hybridMultilevel"/>
    <w:tmpl w:val="CBB8D452"/>
    <w:lvl w:ilvl="0" w:tplc="0AB65478">
      <w:start w:val="1"/>
      <w:numFmt w:val="decimal"/>
      <w:lvlText w:val="%1."/>
      <w:lvlJc w:val="left"/>
      <w:pPr>
        <w:ind w:left="720" w:hanging="360"/>
      </w:pPr>
      <w:rPr>
        <w:rFonts w:cs="Times New Roman" w:hint="default"/>
        <w:color w:val="auto"/>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4">
    <w:nsid w:val="439E45A1"/>
    <w:multiLevelType w:val="hybridMultilevel"/>
    <w:tmpl w:val="582054DC"/>
    <w:lvl w:ilvl="0" w:tplc="301A000F">
      <w:start w:val="1"/>
      <w:numFmt w:val="decimal"/>
      <w:lvlText w:val="%1."/>
      <w:lvlJc w:val="left"/>
      <w:pPr>
        <w:ind w:left="720" w:hanging="360"/>
      </w:pPr>
      <w:rPr>
        <w:rFonts w:cs="Times New Roman" w:hint="default"/>
      </w:rPr>
    </w:lvl>
    <w:lvl w:ilvl="1" w:tplc="301A0019" w:tentative="1">
      <w:start w:val="1"/>
      <w:numFmt w:val="lowerLetter"/>
      <w:lvlText w:val="%2."/>
      <w:lvlJc w:val="left"/>
      <w:pPr>
        <w:ind w:left="1440" w:hanging="360"/>
      </w:pPr>
      <w:rPr>
        <w:rFonts w:cs="Times New Roman"/>
      </w:rPr>
    </w:lvl>
    <w:lvl w:ilvl="2" w:tplc="301A001B" w:tentative="1">
      <w:start w:val="1"/>
      <w:numFmt w:val="lowerRoman"/>
      <w:lvlText w:val="%3."/>
      <w:lvlJc w:val="right"/>
      <w:pPr>
        <w:ind w:left="2160" w:hanging="180"/>
      </w:pPr>
      <w:rPr>
        <w:rFonts w:cs="Times New Roman"/>
      </w:rPr>
    </w:lvl>
    <w:lvl w:ilvl="3" w:tplc="301A000F" w:tentative="1">
      <w:start w:val="1"/>
      <w:numFmt w:val="decimal"/>
      <w:lvlText w:val="%4."/>
      <w:lvlJc w:val="left"/>
      <w:pPr>
        <w:ind w:left="2880" w:hanging="360"/>
      </w:pPr>
      <w:rPr>
        <w:rFonts w:cs="Times New Roman"/>
      </w:rPr>
    </w:lvl>
    <w:lvl w:ilvl="4" w:tplc="301A0019" w:tentative="1">
      <w:start w:val="1"/>
      <w:numFmt w:val="lowerLetter"/>
      <w:lvlText w:val="%5."/>
      <w:lvlJc w:val="left"/>
      <w:pPr>
        <w:ind w:left="3600" w:hanging="360"/>
      </w:pPr>
      <w:rPr>
        <w:rFonts w:cs="Times New Roman"/>
      </w:rPr>
    </w:lvl>
    <w:lvl w:ilvl="5" w:tplc="301A001B" w:tentative="1">
      <w:start w:val="1"/>
      <w:numFmt w:val="lowerRoman"/>
      <w:lvlText w:val="%6."/>
      <w:lvlJc w:val="right"/>
      <w:pPr>
        <w:ind w:left="4320" w:hanging="180"/>
      </w:pPr>
      <w:rPr>
        <w:rFonts w:cs="Times New Roman"/>
      </w:rPr>
    </w:lvl>
    <w:lvl w:ilvl="6" w:tplc="301A000F" w:tentative="1">
      <w:start w:val="1"/>
      <w:numFmt w:val="decimal"/>
      <w:lvlText w:val="%7."/>
      <w:lvlJc w:val="left"/>
      <w:pPr>
        <w:ind w:left="5040" w:hanging="360"/>
      </w:pPr>
      <w:rPr>
        <w:rFonts w:cs="Times New Roman"/>
      </w:rPr>
    </w:lvl>
    <w:lvl w:ilvl="7" w:tplc="301A0019" w:tentative="1">
      <w:start w:val="1"/>
      <w:numFmt w:val="lowerLetter"/>
      <w:lvlText w:val="%8."/>
      <w:lvlJc w:val="left"/>
      <w:pPr>
        <w:ind w:left="5760" w:hanging="360"/>
      </w:pPr>
      <w:rPr>
        <w:rFonts w:cs="Times New Roman"/>
      </w:rPr>
    </w:lvl>
    <w:lvl w:ilvl="8" w:tplc="301A001B" w:tentative="1">
      <w:start w:val="1"/>
      <w:numFmt w:val="lowerRoman"/>
      <w:lvlText w:val="%9."/>
      <w:lvlJc w:val="right"/>
      <w:pPr>
        <w:ind w:left="6480" w:hanging="180"/>
      </w:pPr>
      <w:rPr>
        <w:rFonts w:cs="Times New Roman"/>
      </w:rPr>
    </w:lvl>
  </w:abstractNum>
  <w:abstractNum w:abstractNumId="5">
    <w:nsid w:val="53D13291"/>
    <w:multiLevelType w:val="hybridMultilevel"/>
    <w:tmpl w:val="48BCD8E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nsid w:val="65C8757E"/>
    <w:multiLevelType w:val="hybridMultilevel"/>
    <w:tmpl w:val="E31AF3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F851B4"/>
    <w:multiLevelType w:val="hybridMultilevel"/>
    <w:tmpl w:val="D56081B0"/>
    <w:lvl w:ilvl="0" w:tplc="241A000F">
      <w:start w:val="10"/>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0"/>
  </w:num>
  <w:num w:numId="2">
    <w:abstractNumId w:val="6"/>
  </w:num>
  <w:num w:numId="3">
    <w:abstractNumId w:val="5"/>
  </w:num>
  <w:num w:numId="4">
    <w:abstractNumId w:val="7"/>
  </w:num>
  <w:num w:numId="5">
    <w:abstractNumId w:val="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30C16"/>
    <w:rsid w:val="00000094"/>
    <w:rsid w:val="000019FE"/>
    <w:rsid w:val="00002DBF"/>
    <w:rsid w:val="00004FE7"/>
    <w:rsid w:val="00005222"/>
    <w:rsid w:val="000057F4"/>
    <w:rsid w:val="00006754"/>
    <w:rsid w:val="0000737D"/>
    <w:rsid w:val="00010632"/>
    <w:rsid w:val="00010D15"/>
    <w:rsid w:val="00011AB2"/>
    <w:rsid w:val="00011DFE"/>
    <w:rsid w:val="000125A8"/>
    <w:rsid w:val="000127D0"/>
    <w:rsid w:val="000145AE"/>
    <w:rsid w:val="00016550"/>
    <w:rsid w:val="00016E0F"/>
    <w:rsid w:val="0001712E"/>
    <w:rsid w:val="000206B9"/>
    <w:rsid w:val="00022653"/>
    <w:rsid w:val="000229D1"/>
    <w:rsid w:val="00023ACB"/>
    <w:rsid w:val="0002432C"/>
    <w:rsid w:val="0002495E"/>
    <w:rsid w:val="00025C3A"/>
    <w:rsid w:val="000305FA"/>
    <w:rsid w:val="000322F9"/>
    <w:rsid w:val="000329EE"/>
    <w:rsid w:val="0003663C"/>
    <w:rsid w:val="00037DEC"/>
    <w:rsid w:val="00043616"/>
    <w:rsid w:val="00043702"/>
    <w:rsid w:val="00043A99"/>
    <w:rsid w:val="0004715E"/>
    <w:rsid w:val="00050EE1"/>
    <w:rsid w:val="000512E4"/>
    <w:rsid w:val="00051D27"/>
    <w:rsid w:val="000549B7"/>
    <w:rsid w:val="00055CB3"/>
    <w:rsid w:val="0005655C"/>
    <w:rsid w:val="00060772"/>
    <w:rsid w:val="00061843"/>
    <w:rsid w:val="0006226F"/>
    <w:rsid w:val="00063103"/>
    <w:rsid w:val="00063307"/>
    <w:rsid w:val="000665FD"/>
    <w:rsid w:val="00066D83"/>
    <w:rsid w:val="000706BF"/>
    <w:rsid w:val="00071D1A"/>
    <w:rsid w:val="000725E8"/>
    <w:rsid w:val="00072DBF"/>
    <w:rsid w:val="0007333C"/>
    <w:rsid w:val="0007674F"/>
    <w:rsid w:val="00083E4A"/>
    <w:rsid w:val="00092EBD"/>
    <w:rsid w:val="00094444"/>
    <w:rsid w:val="0009495F"/>
    <w:rsid w:val="0009577C"/>
    <w:rsid w:val="000A0732"/>
    <w:rsid w:val="000A1E11"/>
    <w:rsid w:val="000A277D"/>
    <w:rsid w:val="000A3876"/>
    <w:rsid w:val="000A5330"/>
    <w:rsid w:val="000B0E15"/>
    <w:rsid w:val="000B3C80"/>
    <w:rsid w:val="000B4B53"/>
    <w:rsid w:val="000B663E"/>
    <w:rsid w:val="000B7FC6"/>
    <w:rsid w:val="000C129C"/>
    <w:rsid w:val="000C13C7"/>
    <w:rsid w:val="000C286A"/>
    <w:rsid w:val="000C4350"/>
    <w:rsid w:val="000C5B8C"/>
    <w:rsid w:val="000C6B34"/>
    <w:rsid w:val="000D04EB"/>
    <w:rsid w:val="000D2095"/>
    <w:rsid w:val="000D22E7"/>
    <w:rsid w:val="000D5EF5"/>
    <w:rsid w:val="000E090E"/>
    <w:rsid w:val="000E1864"/>
    <w:rsid w:val="000E22AD"/>
    <w:rsid w:val="000E4D09"/>
    <w:rsid w:val="000E763E"/>
    <w:rsid w:val="000F13A5"/>
    <w:rsid w:val="000F3249"/>
    <w:rsid w:val="000F6B98"/>
    <w:rsid w:val="000F7956"/>
    <w:rsid w:val="0010541B"/>
    <w:rsid w:val="00105CEE"/>
    <w:rsid w:val="00106438"/>
    <w:rsid w:val="00107999"/>
    <w:rsid w:val="00112DB7"/>
    <w:rsid w:val="00113822"/>
    <w:rsid w:val="00117AE0"/>
    <w:rsid w:val="001208DC"/>
    <w:rsid w:val="00120C2B"/>
    <w:rsid w:val="00121ED9"/>
    <w:rsid w:val="00124460"/>
    <w:rsid w:val="00126F16"/>
    <w:rsid w:val="001275D0"/>
    <w:rsid w:val="00130625"/>
    <w:rsid w:val="00131509"/>
    <w:rsid w:val="00134B57"/>
    <w:rsid w:val="00134BC4"/>
    <w:rsid w:val="001359AF"/>
    <w:rsid w:val="00136E6C"/>
    <w:rsid w:val="001374B8"/>
    <w:rsid w:val="00142489"/>
    <w:rsid w:val="00142C48"/>
    <w:rsid w:val="001453FB"/>
    <w:rsid w:val="00151C94"/>
    <w:rsid w:val="0015266C"/>
    <w:rsid w:val="00153A40"/>
    <w:rsid w:val="001574B0"/>
    <w:rsid w:val="00161F1F"/>
    <w:rsid w:val="00163151"/>
    <w:rsid w:val="00170C59"/>
    <w:rsid w:val="001713F7"/>
    <w:rsid w:val="00172360"/>
    <w:rsid w:val="0017276A"/>
    <w:rsid w:val="00172BC7"/>
    <w:rsid w:val="00172DAB"/>
    <w:rsid w:val="00174F35"/>
    <w:rsid w:val="00175132"/>
    <w:rsid w:val="00175F3A"/>
    <w:rsid w:val="0017767B"/>
    <w:rsid w:val="00177B9E"/>
    <w:rsid w:val="00181494"/>
    <w:rsid w:val="00181940"/>
    <w:rsid w:val="0018536B"/>
    <w:rsid w:val="00191758"/>
    <w:rsid w:val="00195172"/>
    <w:rsid w:val="001A373D"/>
    <w:rsid w:val="001A588E"/>
    <w:rsid w:val="001A74A8"/>
    <w:rsid w:val="001B03AA"/>
    <w:rsid w:val="001B087D"/>
    <w:rsid w:val="001B10E9"/>
    <w:rsid w:val="001B11F7"/>
    <w:rsid w:val="001B1D08"/>
    <w:rsid w:val="001B245E"/>
    <w:rsid w:val="001B257E"/>
    <w:rsid w:val="001B30C0"/>
    <w:rsid w:val="001B3B8E"/>
    <w:rsid w:val="001B454E"/>
    <w:rsid w:val="001B6A47"/>
    <w:rsid w:val="001B6E57"/>
    <w:rsid w:val="001C39E6"/>
    <w:rsid w:val="001C39F2"/>
    <w:rsid w:val="001C4CC4"/>
    <w:rsid w:val="001C62AD"/>
    <w:rsid w:val="001D11EB"/>
    <w:rsid w:val="001D240C"/>
    <w:rsid w:val="001D45F3"/>
    <w:rsid w:val="001D5EC8"/>
    <w:rsid w:val="001D6E7A"/>
    <w:rsid w:val="001D703D"/>
    <w:rsid w:val="001D7527"/>
    <w:rsid w:val="001E0481"/>
    <w:rsid w:val="001E2BD6"/>
    <w:rsid w:val="001E426A"/>
    <w:rsid w:val="001E5F24"/>
    <w:rsid w:val="001E6353"/>
    <w:rsid w:val="001E77F9"/>
    <w:rsid w:val="001F32F4"/>
    <w:rsid w:val="001F6316"/>
    <w:rsid w:val="001F73CC"/>
    <w:rsid w:val="002016A0"/>
    <w:rsid w:val="0020201A"/>
    <w:rsid w:val="00202D69"/>
    <w:rsid w:val="00206CEF"/>
    <w:rsid w:val="002070CA"/>
    <w:rsid w:val="00211A49"/>
    <w:rsid w:val="00212752"/>
    <w:rsid w:val="002128FE"/>
    <w:rsid w:val="00213757"/>
    <w:rsid w:val="00213AEB"/>
    <w:rsid w:val="00215954"/>
    <w:rsid w:val="00216380"/>
    <w:rsid w:val="00216C8E"/>
    <w:rsid w:val="002200A2"/>
    <w:rsid w:val="00220C95"/>
    <w:rsid w:val="00221039"/>
    <w:rsid w:val="00221A36"/>
    <w:rsid w:val="0022593B"/>
    <w:rsid w:val="00227F73"/>
    <w:rsid w:val="00230198"/>
    <w:rsid w:val="00233A2E"/>
    <w:rsid w:val="00236C4C"/>
    <w:rsid w:val="00237916"/>
    <w:rsid w:val="00237D96"/>
    <w:rsid w:val="002415F4"/>
    <w:rsid w:val="00242D3E"/>
    <w:rsid w:val="002437F1"/>
    <w:rsid w:val="00252D71"/>
    <w:rsid w:val="00254B23"/>
    <w:rsid w:val="0026092A"/>
    <w:rsid w:val="00261373"/>
    <w:rsid w:val="00263B08"/>
    <w:rsid w:val="00263DD7"/>
    <w:rsid w:val="00267139"/>
    <w:rsid w:val="00273313"/>
    <w:rsid w:val="0027449F"/>
    <w:rsid w:val="00274BE6"/>
    <w:rsid w:val="00277E96"/>
    <w:rsid w:val="00280F6B"/>
    <w:rsid w:val="002820D8"/>
    <w:rsid w:val="002835AE"/>
    <w:rsid w:val="00283EA7"/>
    <w:rsid w:val="00285C22"/>
    <w:rsid w:val="0028619F"/>
    <w:rsid w:val="002876D6"/>
    <w:rsid w:val="00291C91"/>
    <w:rsid w:val="00293586"/>
    <w:rsid w:val="00293B02"/>
    <w:rsid w:val="00294262"/>
    <w:rsid w:val="002A1964"/>
    <w:rsid w:val="002A4357"/>
    <w:rsid w:val="002A45BA"/>
    <w:rsid w:val="002A6366"/>
    <w:rsid w:val="002A792E"/>
    <w:rsid w:val="002B1273"/>
    <w:rsid w:val="002B389D"/>
    <w:rsid w:val="002B428A"/>
    <w:rsid w:val="002B53DE"/>
    <w:rsid w:val="002B761F"/>
    <w:rsid w:val="002C1559"/>
    <w:rsid w:val="002C1979"/>
    <w:rsid w:val="002C2339"/>
    <w:rsid w:val="002C47F0"/>
    <w:rsid w:val="002C51E3"/>
    <w:rsid w:val="002C6128"/>
    <w:rsid w:val="002C7D82"/>
    <w:rsid w:val="002D1B5E"/>
    <w:rsid w:val="002D3646"/>
    <w:rsid w:val="002D4AA4"/>
    <w:rsid w:val="002D62A8"/>
    <w:rsid w:val="002D7005"/>
    <w:rsid w:val="002D7A88"/>
    <w:rsid w:val="002E036E"/>
    <w:rsid w:val="002E231B"/>
    <w:rsid w:val="002E234F"/>
    <w:rsid w:val="002E23B7"/>
    <w:rsid w:val="002E28CE"/>
    <w:rsid w:val="002F2F7D"/>
    <w:rsid w:val="002F4C79"/>
    <w:rsid w:val="002F61C4"/>
    <w:rsid w:val="002F6602"/>
    <w:rsid w:val="00302F5A"/>
    <w:rsid w:val="003052AC"/>
    <w:rsid w:val="003110BF"/>
    <w:rsid w:val="0032145B"/>
    <w:rsid w:val="00321870"/>
    <w:rsid w:val="00321C6B"/>
    <w:rsid w:val="00324462"/>
    <w:rsid w:val="0032571A"/>
    <w:rsid w:val="00326BC8"/>
    <w:rsid w:val="00326D82"/>
    <w:rsid w:val="00326EDA"/>
    <w:rsid w:val="00332DC2"/>
    <w:rsid w:val="003333A5"/>
    <w:rsid w:val="00334015"/>
    <w:rsid w:val="00335545"/>
    <w:rsid w:val="00342D08"/>
    <w:rsid w:val="0034536F"/>
    <w:rsid w:val="003455C5"/>
    <w:rsid w:val="0034561F"/>
    <w:rsid w:val="00345AA6"/>
    <w:rsid w:val="00347040"/>
    <w:rsid w:val="00347612"/>
    <w:rsid w:val="00351F82"/>
    <w:rsid w:val="00355D60"/>
    <w:rsid w:val="00355DAF"/>
    <w:rsid w:val="003569C1"/>
    <w:rsid w:val="00361B75"/>
    <w:rsid w:val="003624D9"/>
    <w:rsid w:val="003643CD"/>
    <w:rsid w:val="00365FDC"/>
    <w:rsid w:val="00367F37"/>
    <w:rsid w:val="0037097C"/>
    <w:rsid w:val="00371803"/>
    <w:rsid w:val="00372F90"/>
    <w:rsid w:val="00373BF2"/>
    <w:rsid w:val="00374908"/>
    <w:rsid w:val="00374C5E"/>
    <w:rsid w:val="0038040F"/>
    <w:rsid w:val="0038259F"/>
    <w:rsid w:val="00383777"/>
    <w:rsid w:val="003837F0"/>
    <w:rsid w:val="0038499A"/>
    <w:rsid w:val="00384FE1"/>
    <w:rsid w:val="00385201"/>
    <w:rsid w:val="00386217"/>
    <w:rsid w:val="0038728C"/>
    <w:rsid w:val="0038763B"/>
    <w:rsid w:val="00387851"/>
    <w:rsid w:val="0039379B"/>
    <w:rsid w:val="00395884"/>
    <w:rsid w:val="00395D3C"/>
    <w:rsid w:val="003962FD"/>
    <w:rsid w:val="00397E64"/>
    <w:rsid w:val="003A1A57"/>
    <w:rsid w:val="003A26B8"/>
    <w:rsid w:val="003B1779"/>
    <w:rsid w:val="003B365F"/>
    <w:rsid w:val="003B4104"/>
    <w:rsid w:val="003B4846"/>
    <w:rsid w:val="003B768C"/>
    <w:rsid w:val="003C21AE"/>
    <w:rsid w:val="003C3288"/>
    <w:rsid w:val="003C3BC0"/>
    <w:rsid w:val="003C500A"/>
    <w:rsid w:val="003C6BE1"/>
    <w:rsid w:val="003D0488"/>
    <w:rsid w:val="003D2AA5"/>
    <w:rsid w:val="003E0F28"/>
    <w:rsid w:val="003E12CB"/>
    <w:rsid w:val="003E1839"/>
    <w:rsid w:val="003E1ACF"/>
    <w:rsid w:val="003E1C26"/>
    <w:rsid w:val="003E4CA8"/>
    <w:rsid w:val="003E6054"/>
    <w:rsid w:val="003E775D"/>
    <w:rsid w:val="003E7B35"/>
    <w:rsid w:val="003F0A58"/>
    <w:rsid w:val="003F24BD"/>
    <w:rsid w:val="003F4D18"/>
    <w:rsid w:val="003F4DFD"/>
    <w:rsid w:val="003F5451"/>
    <w:rsid w:val="003F79E8"/>
    <w:rsid w:val="003F7A4A"/>
    <w:rsid w:val="00401E53"/>
    <w:rsid w:val="004033AD"/>
    <w:rsid w:val="00404477"/>
    <w:rsid w:val="0040486F"/>
    <w:rsid w:val="00407740"/>
    <w:rsid w:val="0041137A"/>
    <w:rsid w:val="00412BE9"/>
    <w:rsid w:val="00412FC5"/>
    <w:rsid w:val="004153ED"/>
    <w:rsid w:val="0041611A"/>
    <w:rsid w:val="004169ED"/>
    <w:rsid w:val="00420FE0"/>
    <w:rsid w:val="004214E4"/>
    <w:rsid w:val="0042231E"/>
    <w:rsid w:val="00422428"/>
    <w:rsid w:val="004225E6"/>
    <w:rsid w:val="00423371"/>
    <w:rsid w:val="00423963"/>
    <w:rsid w:val="00424A49"/>
    <w:rsid w:val="00424F44"/>
    <w:rsid w:val="00425747"/>
    <w:rsid w:val="00425B38"/>
    <w:rsid w:val="00426199"/>
    <w:rsid w:val="00426ACB"/>
    <w:rsid w:val="00432B7F"/>
    <w:rsid w:val="00435174"/>
    <w:rsid w:val="00435EC6"/>
    <w:rsid w:val="00440547"/>
    <w:rsid w:val="0044109F"/>
    <w:rsid w:val="00441219"/>
    <w:rsid w:val="0044200F"/>
    <w:rsid w:val="004427D7"/>
    <w:rsid w:val="004429AA"/>
    <w:rsid w:val="0044349B"/>
    <w:rsid w:val="00443A88"/>
    <w:rsid w:val="0044645B"/>
    <w:rsid w:val="004465D3"/>
    <w:rsid w:val="004468FE"/>
    <w:rsid w:val="0045067B"/>
    <w:rsid w:val="004538B1"/>
    <w:rsid w:val="00453AEC"/>
    <w:rsid w:val="00453CC2"/>
    <w:rsid w:val="0045430D"/>
    <w:rsid w:val="004557DC"/>
    <w:rsid w:val="004561B3"/>
    <w:rsid w:val="004618C1"/>
    <w:rsid w:val="00463B25"/>
    <w:rsid w:val="00464665"/>
    <w:rsid w:val="00464666"/>
    <w:rsid w:val="00464F05"/>
    <w:rsid w:val="00465356"/>
    <w:rsid w:val="00467D58"/>
    <w:rsid w:val="00471ACE"/>
    <w:rsid w:val="00474096"/>
    <w:rsid w:val="004742B8"/>
    <w:rsid w:val="00475267"/>
    <w:rsid w:val="00475B6D"/>
    <w:rsid w:val="00480309"/>
    <w:rsid w:val="00481B19"/>
    <w:rsid w:val="00482558"/>
    <w:rsid w:val="00482BC8"/>
    <w:rsid w:val="00483FBC"/>
    <w:rsid w:val="00490AC5"/>
    <w:rsid w:val="0049248C"/>
    <w:rsid w:val="00493943"/>
    <w:rsid w:val="0049562A"/>
    <w:rsid w:val="004A1464"/>
    <w:rsid w:val="004B4CB3"/>
    <w:rsid w:val="004B577C"/>
    <w:rsid w:val="004C059D"/>
    <w:rsid w:val="004C07A2"/>
    <w:rsid w:val="004C425E"/>
    <w:rsid w:val="004D3C64"/>
    <w:rsid w:val="004E03E9"/>
    <w:rsid w:val="004E5018"/>
    <w:rsid w:val="004F05FF"/>
    <w:rsid w:val="004F2D0E"/>
    <w:rsid w:val="004F3B0F"/>
    <w:rsid w:val="004F48CF"/>
    <w:rsid w:val="004F615A"/>
    <w:rsid w:val="005022A9"/>
    <w:rsid w:val="00503ED3"/>
    <w:rsid w:val="005047A3"/>
    <w:rsid w:val="00505BD3"/>
    <w:rsid w:val="00507231"/>
    <w:rsid w:val="00510F89"/>
    <w:rsid w:val="0051352C"/>
    <w:rsid w:val="00520BF5"/>
    <w:rsid w:val="005223DD"/>
    <w:rsid w:val="00522966"/>
    <w:rsid w:val="005234D4"/>
    <w:rsid w:val="00523745"/>
    <w:rsid w:val="00523A8B"/>
    <w:rsid w:val="00523BED"/>
    <w:rsid w:val="00530F4E"/>
    <w:rsid w:val="005312EB"/>
    <w:rsid w:val="00531F44"/>
    <w:rsid w:val="00532A9E"/>
    <w:rsid w:val="00533752"/>
    <w:rsid w:val="00537282"/>
    <w:rsid w:val="005402B8"/>
    <w:rsid w:val="00542F9A"/>
    <w:rsid w:val="005434D6"/>
    <w:rsid w:val="005440C4"/>
    <w:rsid w:val="00546E57"/>
    <w:rsid w:val="00547D59"/>
    <w:rsid w:val="00547D9E"/>
    <w:rsid w:val="005504EF"/>
    <w:rsid w:val="00551ADE"/>
    <w:rsid w:val="00552758"/>
    <w:rsid w:val="0055513A"/>
    <w:rsid w:val="0055792A"/>
    <w:rsid w:val="00560F54"/>
    <w:rsid w:val="00561099"/>
    <w:rsid w:val="00561134"/>
    <w:rsid w:val="00561F5E"/>
    <w:rsid w:val="00563B85"/>
    <w:rsid w:val="005715E5"/>
    <w:rsid w:val="00572540"/>
    <w:rsid w:val="0057324A"/>
    <w:rsid w:val="005736F0"/>
    <w:rsid w:val="00574187"/>
    <w:rsid w:val="005745B7"/>
    <w:rsid w:val="00575264"/>
    <w:rsid w:val="00576FA1"/>
    <w:rsid w:val="00580221"/>
    <w:rsid w:val="00581A36"/>
    <w:rsid w:val="005843D1"/>
    <w:rsid w:val="00585EA5"/>
    <w:rsid w:val="00587396"/>
    <w:rsid w:val="00591554"/>
    <w:rsid w:val="00595FBA"/>
    <w:rsid w:val="005977B5"/>
    <w:rsid w:val="005A3464"/>
    <w:rsid w:val="005A7E22"/>
    <w:rsid w:val="005B1F16"/>
    <w:rsid w:val="005B48DC"/>
    <w:rsid w:val="005C090B"/>
    <w:rsid w:val="005C09B9"/>
    <w:rsid w:val="005C1F0A"/>
    <w:rsid w:val="005C4294"/>
    <w:rsid w:val="005C55CF"/>
    <w:rsid w:val="005C7C1C"/>
    <w:rsid w:val="005D0B49"/>
    <w:rsid w:val="005D4C68"/>
    <w:rsid w:val="005E1BB2"/>
    <w:rsid w:val="005E57CA"/>
    <w:rsid w:val="005E5CCE"/>
    <w:rsid w:val="005F16BC"/>
    <w:rsid w:val="005F2CE7"/>
    <w:rsid w:val="005F2D4F"/>
    <w:rsid w:val="005F33D6"/>
    <w:rsid w:val="005F47AD"/>
    <w:rsid w:val="005F4E8C"/>
    <w:rsid w:val="005F5974"/>
    <w:rsid w:val="005F59A4"/>
    <w:rsid w:val="0060326C"/>
    <w:rsid w:val="00605717"/>
    <w:rsid w:val="00606825"/>
    <w:rsid w:val="00607EFC"/>
    <w:rsid w:val="006102B6"/>
    <w:rsid w:val="00611386"/>
    <w:rsid w:val="00611FE5"/>
    <w:rsid w:val="00612FB9"/>
    <w:rsid w:val="006134B1"/>
    <w:rsid w:val="0061483C"/>
    <w:rsid w:val="00615C52"/>
    <w:rsid w:val="00616EC2"/>
    <w:rsid w:val="006201BC"/>
    <w:rsid w:val="00620992"/>
    <w:rsid w:val="00622AF9"/>
    <w:rsid w:val="00622F21"/>
    <w:rsid w:val="006243C3"/>
    <w:rsid w:val="00625762"/>
    <w:rsid w:val="006260DD"/>
    <w:rsid w:val="00626C8F"/>
    <w:rsid w:val="0062748C"/>
    <w:rsid w:val="006322C4"/>
    <w:rsid w:val="006325A7"/>
    <w:rsid w:val="00635E82"/>
    <w:rsid w:val="00637BC6"/>
    <w:rsid w:val="006415C4"/>
    <w:rsid w:val="00641698"/>
    <w:rsid w:val="00645020"/>
    <w:rsid w:val="0064608D"/>
    <w:rsid w:val="006463F1"/>
    <w:rsid w:val="00646862"/>
    <w:rsid w:val="00646D16"/>
    <w:rsid w:val="00651B5A"/>
    <w:rsid w:val="00651F8D"/>
    <w:rsid w:val="00651F91"/>
    <w:rsid w:val="0065485F"/>
    <w:rsid w:val="006556B5"/>
    <w:rsid w:val="00657FC1"/>
    <w:rsid w:val="00664E86"/>
    <w:rsid w:val="006659B3"/>
    <w:rsid w:val="00665C35"/>
    <w:rsid w:val="006661E1"/>
    <w:rsid w:val="006678EB"/>
    <w:rsid w:val="00671EA6"/>
    <w:rsid w:val="0067375D"/>
    <w:rsid w:val="0067595D"/>
    <w:rsid w:val="00676F49"/>
    <w:rsid w:val="00681B4C"/>
    <w:rsid w:val="006847E4"/>
    <w:rsid w:val="00686B5D"/>
    <w:rsid w:val="00686E6B"/>
    <w:rsid w:val="0069262C"/>
    <w:rsid w:val="00696246"/>
    <w:rsid w:val="00696571"/>
    <w:rsid w:val="00696CCB"/>
    <w:rsid w:val="00696FC9"/>
    <w:rsid w:val="006974C5"/>
    <w:rsid w:val="00697808"/>
    <w:rsid w:val="00697A86"/>
    <w:rsid w:val="00697E66"/>
    <w:rsid w:val="006A1736"/>
    <w:rsid w:val="006A449A"/>
    <w:rsid w:val="006A4CEA"/>
    <w:rsid w:val="006A5E11"/>
    <w:rsid w:val="006A7D55"/>
    <w:rsid w:val="006A7E33"/>
    <w:rsid w:val="006A7E44"/>
    <w:rsid w:val="006B0D56"/>
    <w:rsid w:val="006B4A9B"/>
    <w:rsid w:val="006B5B21"/>
    <w:rsid w:val="006C00BE"/>
    <w:rsid w:val="006C1BA5"/>
    <w:rsid w:val="006C1DFE"/>
    <w:rsid w:val="006C3C7D"/>
    <w:rsid w:val="006C63FF"/>
    <w:rsid w:val="006C6923"/>
    <w:rsid w:val="006C7810"/>
    <w:rsid w:val="006C7F3F"/>
    <w:rsid w:val="006D5918"/>
    <w:rsid w:val="006D796B"/>
    <w:rsid w:val="006D79F5"/>
    <w:rsid w:val="006E087E"/>
    <w:rsid w:val="006E0EB3"/>
    <w:rsid w:val="006E44C5"/>
    <w:rsid w:val="006E6370"/>
    <w:rsid w:val="006F0111"/>
    <w:rsid w:val="006F0466"/>
    <w:rsid w:val="006F0FE4"/>
    <w:rsid w:val="006F2A88"/>
    <w:rsid w:val="006F2AD4"/>
    <w:rsid w:val="006F3203"/>
    <w:rsid w:val="006F6E84"/>
    <w:rsid w:val="006F7F1A"/>
    <w:rsid w:val="0070037F"/>
    <w:rsid w:val="00706295"/>
    <w:rsid w:val="00707351"/>
    <w:rsid w:val="00707946"/>
    <w:rsid w:val="00713145"/>
    <w:rsid w:val="00713E39"/>
    <w:rsid w:val="00713FBA"/>
    <w:rsid w:val="007144DA"/>
    <w:rsid w:val="00714B2E"/>
    <w:rsid w:val="00717E18"/>
    <w:rsid w:val="00720A1A"/>
    <w:rsid w:val="00725059"/>
    <w:rsid w:val="007259B7"/>
    <w:rsid w:val="00726490"/>
    <w:rsid w:val="00726F0B"/>
    <w:rsid w:val="00730020"/>
    <w:rsid w:val="007312E2"/>
    <w:rsid w:val="007339A4"/>
    <w:rsid w:val="007345E3"/>
    <w:rsid w:val="007367CB"/>
    <w:rsid w:val="00740798"/>
    <w:rsid w:val="00740B7E"/>
    <w:rsid w:val="00742372"/>
    <w:rsid w:val="0074358D"/>
    <w:rsid w:val="00744FF8"/>
    <w:rsid w:val="007537A0"/>
    <w:rsid w:val="00753F20"/>
    <w:rsid w:val="007622B9"/>
    <w:rsid w:val="0076276D"/>
    <w:rsid w:val="00762789"/>
    <w:rsid w:val="00763F47"/>
    <w:rsid w:val="007652C6"/>
    <w:rsid w:val="007655FB"/>
    <w:rsid w:val="00766964"/>
    <w:rsid w:val="007730B5"/>
    <w:rsid w:val="00773401"/>
    <w:rsid w:val="007734EF"/>
    <w:rsid w:val="007736FA"/>
    <w:rsid w:val="0078086F"/>
    <w:rsid w:val="0078093B"/>
    <w:rsid w:val="007811A8"/>
    <w:rsid w:val="007814C9"/>
    <w:rsid w:val="00782C66"/>
    <w:rsid w:val="007830F4"/>
    <w:rsid w:val="00783450"/>
    <w:rsid w:val="0078520C"/>
    <w:rsid w:val="00786677"/>
    <w:rsid w:val="00786C64"/>
    <w:rsid w:val="00794103"/>
    <w:rsid w:val="007945D9"/>
    <w:rsid w:val="00797B1A"/>
    <w:rsid w:val="007A00D3"/>
    <w:rsid w:val="007A169F"/>
    <w:rsid w:val="007A24AC"/>
    <w:rsid w:val="007A39AD"/>
    <w:rsid w:val="007A5119"/>
    <w:rsid w:val="007A5F17"/>
    <w:rsid w:val="007A675B"/>
    <w:rsid w:val="007B26D5"/>
    <w:rsid w:val="007B4B66"/>
    <w:rsid w:val="007B5DB7"/>
    <w:rsid w:val="007C138C"/>
    <w:rsid w:val="007C26F3"/>
    <w:rsid w:val="007C2888"/>
    <w:rsid w:val="007C3BC3"/>
    <w:rsid w:val="007C4321"/>
    <w:rsid w:val="007D2412"/>
    <w:rsid w:val="007D6047"/>
    <w:rsid w:val="007E1FAD"/>
    <w:rsid w:val="007E42E0"/>
    <w:rsid w:val="007E4511"/>
    <w:rsid w:val="007E52FE"/>
    <w:rsid w:val="007E7BA6"/>
    <w:rsid w:val="007F05C7"/>
    <w:rsid w:val="007F2355"/>
    <w:rsid w:val="007F4192"/>
    <w:rsid w:val="007F50EE"/>
    <w:rsid w:val="007F69F0"/>
    <w:rsid w:val="00800FB5"/>
    <w:rsid w:val="00803B5D"/>
    <w:rsid w:val="008042DF"/>
    <w:rsid w:val="00804343"/>
    <w:rsid w:val="00805A77"/>
    <w:rsid w:val="00805B37"/>
    <w:rsid w:val="00810AFF"/>
    <w:rsid w:val="00811AC2"/>
    <w:rsid w:val="0081508B"/>
    <w:rsid w:val="00816103"/>
    <w:rsid w:val="00816CB4"/>
    <w:rsid w:val="0082151A"/>
    <w:rsid w:val="008216AC"/>
    <w:rsid w:val="00823974"/>
    <w:rsid w:val="00824F97"/>
    <w:rsid w:val="00830FC5"/>
    <w:rsid w:val="00831576"/>
    <w:rsid w:val="008335B2"/>
    <w:rsid w:val="00833FA8"/>
    <w:rsid w:val="0083472D"/>
    <w:rsid w:val="00836A7B"/>
    <w:rsid w:val="00837EA8"/>
    <w:rsid w:val="00837F22"/>
    <w:rsid w:val="008428D0"/>
    <w:rsid w:val="00842958"/>
    <w:rsid w:val="00843D62"/>
    <w:rsid w:val="008449E3"/>
    <w:rsid w:val="00844E74"/>
    <w:rsid w:val="00845C45"/>
    <w:rsid w:val="008460C7"/>
    <w:rsid w:val="00846B41"/>
    <w:rsid w:val="008471E3"/>
    <w:rsid w:val="00850AA5"/>
    <w:rsid w:val="008518E7"/>
    <w:rsid w:val="00852037"/>
    <w:rsid w:val="008563CB"/>
    <w:rsid w:val="00862807"/>
    <w:rsid w:val="00863435"/>
    <w:rsid w:val="00865EBD"/>
    <w:rsid w:val="008666EB"/>
    <w:rsid w:val="00866D6D"/>
    <w:rsid w:val="00867110"/>
    <w:rsid w:val="00870128"/>
    <w:rsid w:val="00870647"/>
    <w:rsid w:val="00871FE8"/>
    <w:rsid w:val="008727EF"/>
    <w:rsid w:val="0087602C"/>
    <w:rsid w:val="008777DA"/>
    <w:rsid w:val="00877B76"/>
    <w:rsid w:val="00881559"/>
    <w:rsid w:val="00881C4A"/>
    <w:rsid w:val="00882CB3"/>
    <w:rsid w:val="008844FD"/>
    <w:rsid w:val="00884CB7"/>
    <w:rsid w:val="00892329"/>
    <w:rsid w:val="00894EF2"/>
    <w:rsid w:val="0089637B"/>
    <w:rsid w:val="00897149"/>
    <w:rsid w:val="008B048C"/>
    <w:rsid w:val="008B0AC4"/>
    <w:rsid w:val="008B1816"/>
    <w:rsid w:val="008B2D94"/>
    <w:rsid w:val="008B3678"/>
    <w:rsid w:val="008B45A9"/>
    <w:rsid w:val="008B47BC"/>
    <w:rsid w:val="008B5716"/>
    <w:rsid w:val="008B6197"/>
    <w:rsid w:val="008C0981"/>
    <w:rsid w:val="008C2783"/>
    <w:rsid w:val="008C2A39"/>
    <w:rsid w:val="008D1F00"/>
    <w:rsid w:val="008E18A8"/>
    <w:rsid w:val="008E1974"/>
    <w:rsid w:val="008E2E56"/>
    <w:rsid w:val="008E372F"/>
    <w:rsid w:val="008E5975"/>
    <w:rsid w:val="008E719E"/>
    <w:rsid w:val="008F0573"/>
    <w:rsid w:val="008F344B"/>
    <w:rsid w:val="008F4769"/>
    <w:rsid w:val="008F6182"/>
    <w:rsid w:val="009006D0"/>
    <w:rsid w:val="0090117B"/>
    <w:rsid w:val="00901E3A"/>
    <w:rsid w:val="0090382C"/>
    <w:rsid w:val="00904A10"/>
    <w:rsid w:val="0090530A"/>
    <w:rsid w:val="00905FD2"/>
    <w:rsid w:val="0090623C"/>
    <w:rsid w:val="00910A8A"/>
    <w:rsid w:val="00910B1E"/>
    <w:rsid w:val="00912C52"/>
    <w:rsid w:val="00913C71"/>
    <w:rsid w:val="00914BE2"/>
    <w:rsid w:val="00916207"/>
    <w:rsid w:val="0091627A"/>
    <w:rsid w:val="0091653F"/>
    <w:rsid w:val="00921996"/>
    <w:rsid w:val="0092428A"/>
    <w:rsid w:val="009260CC"/>
    <w:rsid w:val="009267C5"/>
    <w:rsid w:val="00926E1C"/>
    <w:rsid w:val="00934022"/>
    <w:rsid w:val="009347E3"/>
    <w:rsid w:val="00936542"/>
    <w:rsid w:val="00936D4F"/>
    <w:rsid w:val="009428AD"/>
    <w:rsid w:val="00944134"/>
    <w:rsid w:val="0094422B"/>
    <w:rsid w:val="0094612A"/>
    <w:rsid w:val="00946D3E"/>
    <w:rsid w:val="009470C1"/>
    <w:rsid w:val="00951613"/>
    <w:rsid w:val="0095389B"/>
    <w:rsid w:val="00954507"/>
    <w:rsid w:val="00955A24"/>
    <w:rsid w:val="00955D06"/>
    <w:rsid w:val="00964F05"/>
    <w:rsid w:val="00964FB1"/>
    <w:rsid w:val="00967D83"/>
    <w:rsid w:val="00974287"/>
    <w:rsid w:val="00984A61"/>
    <w:rsid w:val="009860FF"/>
    <w:rsid w:val="00986835"/>
    <w:rsid w:val="0098735A"/>
    <w:rsid w:val="009911D7"/>
    <w:rsid w:val="00991EB8"/>
    <w:rsid w:val="0099228D"/>
    <w:rsid w:val="00992858"/>
    <w:rsid w:val="009965E9"/>
    <w:rsid w:val="00997EDF"/>
    <w:rsid w:val="009A4443"/>
    <w:rsid w:val="009A466C"/>
    <w:rsid w:val="009A5241"/>
    <w:rsid w:val="009A59B8"/>
    <w:rsid w:val="009A6064"/>
    <w:rsid w:val="009A68A2"/>
    <w:rsid w:val="009A6973"/>
    <w:rsid w:val="009A6BA3"/>
    <w:rsid w:val="009A6DD2"/>
    <w:rsid w:val="009A7B37"/>
    <w:rsid w:val="009B28CC"/>
    <w:rsid w:val="009B2CB0"/>
    <w:rsid w:val="009B3038"/>
    <w:rsid w:val="009B3E9B"/>
    <w:rsid w:val="009B4DA4"/>
    <w:rsid w:val="009B55CF"/>
    <w:rsid w:val="009B6761"/>
    <w:rsid w:val="009B6DB4"/>
    <w:rsid w:val="009C255B"/>
    <w:rsid w:val="009C34BC"/>
    <w:rsid w:val="009C677F"/>
    <w:rsid w:val="009C6C57"/>
    <w:rsid w:val="009C6C7C"/>
    <w:rsid w:val="009D0486"/>
    <w:rsid w:val="009D1BE2"/>
    <w:rsid w:val="009D279B"/>
    <w:rsid w:val="009D3079"/>
    <w:rsid w:val="009D6781"/>
    <w:rsid w:val="009D7B1C"/>
    <w:rsid w:val="009D7B2C"/>
    <w:rsid w:val="009E2C73"/>
    <w:rsid w:val="009E37C0"/>
    <w:rsid w:val="009E7177"/>
    <w:rsid w:val="009F0921"/>
    <w:rsid w:val="009F1264"/>
    <w:rsid w:val="009F187C"/>
    <w:rsid w:val="009F3C49"/>
    <w:rsid w:val="00A0105B"/>
    <w:rsid w:val="00A012EE"/>
    <w:rsid w:val="00A01819"/>
    <w:rsid w:val="00A02879"/>
    <w:rsid w:val="00A07ECD"/>
    <w:rsid w:val="00A119C7"/>
    <w:rsid w:val="00A11C2B"/>
    <w:rsid w:val="00A14A0C"/>
    <w:rsid w:val="00A154D7"/>
    <w:rsid w:val="00A15768"/>
    <w:rsid w:val="00A170EB"/>
    <w:rsid w:val="00A1749B"/>
    <w:rsid w:val="00A20355"/>
    <w:rsid w:val="00A20EB2"/>
    <w:rsid w:val="00A2309F"/>
    <w:rsid w:val="00A236E8"/>
    <w:rsid w:val="00A25B77"/>
    <w:rsid w:val="00A26735"/>
    <w:rsid w:val="00A26E9A"/>
    <w:rsid w:val="00A3133D"/>
    <w:rsid w:val="00A330BA"/>
    <w:rsid w:val="00A3373C"/>
    <w:rsid w:val="00A34158"/>
    <w:rsid w:val="00A40C0D"/>
    <w:rsid w:val="00A419C2"/>
    <w:rsid w:val="00A43B51"/>
    <w:rsid w:val="00A451EE"/>
    <w:rsid w:val="00A471F4"/>
    <w:rsid w:val="00A47EA4"/>
    <w:rsid w:val="00A5747B"/>
    <w:rsid w:val="00A62079"/>
    <w:rsid w:val="00A62D74"/>
    <w:rsid w:val="00A63E5C"/>
    <w:rsid w:val="00A63F0C"/>
    <w:rsid w:val="00A65D58"/>
    <w:rsid w:val="00A65EEE"/>
    <w:rsid w:val="00A65F9E"/>
    <w:rsid w:val="00A67E3E"/>
    <w:rsid w:val="00A702C1"/>
    <w:rsid w:val="00A71BD1"/>
    <w:rsid w:val="00A7262E"/>
    <w:rsid w:val="00A734C3"/>
    <w:rsid w:val="00A73C25"/>
    <w:rsid w:val="00A75FC0"/>
    <w:rsid w:val="00A812F5"/>
    <w:rsid w:val="00A820AE"/>
    <w:rsid w:val="00A8404D"/>
    <w:rsid w:val="00A84629"/>
    <w:rsid w:val="00A854B9"/>
    <w:rsid w:val="00A85965"/>
    <w:rsid w:val="00A85B04"/>
    <w:rsid w:val="00A8682D"/>
    <w:rsid w:val="00A92087"/>
    <w:rsid w:val="00A93681"/>
    <w:rsid w:val="00A9660E"/>
    <w:rsid w:val="00A96758"/>
    <w:rsid w:val="00A975F4"/>
    <w:rsid w:val="00AA0304"/>
    <w:rsid w:val="00AA0D55"/>
    <w:rsid w:val="00AA1254"/>
    <w:rsid w:val="00AA5994"/>
    <w:rsid w:val="00AA7DBD"/>
    <w:rsid w:val="00AB11ED"/>
    <w:rsid w:val="00AB464B"/>
    <w:rsid w:val="00AC4222"/>
    <w:rsid w:val="00AC49B6"/>
    <w:rsid w:val="00AC6B21"/>
    <w:rsid w:val="00AC7158"/>
    <w:rsid w:val="00AC7F64"/>
    <w:rsid w:val="00AD2121"/>
    <w:rsid w:val="00AD254D"/>
    <w:rsid w:val="00AD3464"/>
    <w:rsid w:val="00AD709F"/>
    <w:rsid w:val="00AE2587"/>
    <w:rsid w:val="00B0351C"/>
    <w:rsid w:val="00B07DE5"/>
    <w:rsid w:val="00B1140C"/>
    <w:rsid w:val="00B1189C"/>
    <w:rsid w:val="00B12BAB"/>
    <w:rsid w:val="00B12E9D"/>
    <w:rsid w:val="00B136FE"/>
    <w:rsid w:val="00B152F5"/>
    <w:rsid w:val="00B15BAA"/>
    <w:rsid w:val="00B1661D"/>
    <w:rsid w:val="00B23311"/>
    <w:rsid w:val="00B24274"/>
    <w:rsid w:val="00B26AAA"/>
    <w:rsid w:val="00B27120"/>
    <w:rsid w:val="00B30C16"/>
    <w:rsid w:val="00B31710"/>
    <w:rsid w:val="00B37E62"/>
    <w:rsid w:val="00B41F32"/>
    <w:rsid w:val="00B4214A"/>
    <w:rsid w:val="00B43E94"/>
    <w:rsid w:val="00B45187"/>
    <w:rsid w:val="00B4563B"/>
    <w:rsid w:val="00B4616B"/>
    <w:rsid w:val="00B46DD9"/>
    <w:rsid w:val="00B50CAD"/>
    <w:rsid w:val="00B52C7D"/>
    <w:rsid w:val="00B55269"/>
    <w:rsid w:val="00B55E4A"/>
    <w:rsid w:val="00B55F55"/>
    <w:rsid w:val="00B56910"/>
    <w:rsid w:val="00B56D22"/>
    <w:rsid w:val="00B5717C"/>
    <w:rsid w:val="00B6079F"/>
    <w:rsid w:val="00B63848"/>
    <w:rsid w:val="00B646A4"/>
    <w:rsid w:val="00B6736B"/>
    <w:rsid w:val="00B71CA1"/>
    <w:rsid w:val="00B75166"/>
    <w:rsid w:val="00B76317"/>
    <w:rsid w:val="00B844CD"/>
    <w:rsid w:val="00B903C9"/>
    <w:rsid w:val="00B92895"/>
    <w:rsid w:val="00B92EF5"/>
    <w:rsid w:val="00B932AA"/>
    <w:rsid w:val="00B93598"/>
    <w:rsid w:val="00B944F4"/>
    <w:rsid w:val="00B94990"/>
    <w:rsid w:val="00B96B3D"/>
    <w:rsid w:val="00BA1370"/>
    <w:rsid w:val="00BA35BE"/>
    <w:rsid w:val="00BA3B82"/>
    <w:rsid w:val="00BA4C07"/>
    <w:rsid w:val="00BA4C08"/>
    <w:rsid w:val="00BA7622"/>
    <w:rsid w:val="00BA798F"/>
    <w:rsid w:val="00BB0B53"/>
    <w:rsid w:val="00BB0B9A"/>
    <w:rsid w:val="00BB0BBE"/>
    <w:rsid w:val="00BB493A"/>
    <w:rsid w:val="00BB64E7"/>
    <w:rsid w:val="00BB6EC6"/>
    <w:rsid w:val="00BB7407"/>
    <w:rsid w:val="00BB7C53"/>
    <w:rsid w:val="00BC0F17"/>
    <w:rsid w:val="00BC23FF"/>
    <w:rsid w:val="00BC5EEE"/>
    <w:rsid w:val="00BD1019"/>
    <w:rsid w:val="00BD28A5"/>
    <w:rsid w:val="00BD2B9B"/>
    <w:rsid w:val="00BD496A"/>
    <w:rsid w:val="00BD4A6E"/>
    <w:rsid w:val="00BD596F"/>
    <w:rsid w:val="00BE041F"/>
    <w:rsid w:val="00BE14E5"/>
    <w:rsid w:val="00BE2126"/>
    <w:rsid w:val="00BE3BC3"/>
    <w:rsid w:val="00BE519C"/>
    <w:rsid w:val="00BE58E1"/>
    <w:rsid w:val="00BE5B17"/>
    <w:rsid w:val="00BE6BA0"/>
    <w:rsid w:val="00BF0CEA"/>
    <w:rsid w:val="00BF1E92"/>
    <w:rsid w:val="00BF2946"/>
    <w:rsid w:val="00BF2D32"/>
    <w:rsid w:val="00BF3283"/>
    <w:rsid w:val="00BF526B"/>
    <w:rsid w:val="00C011F1"/>
    <w:rsid w:val="00C013A0"/>
    <w:rsid w:val="00C0583A"/>
    <w:rsid w:val="00C0695D"/>
    <w:rsid w:val="00C06A03"/>
    <w:rsid w:val="00C06C5A"/>
    <w:rsid w:val="00C06F5E"/>
    <w:rsid w:val="00C07973"/>
    <w:rsid w:val="00C12C3B"/>
    <w:rsid w:val="00C1387D"/>
    <w:rsid w:val="00C15892"/>
    <w:rsid w:val="00C15E02"/>
    <w:rsid w:val="00C1614D"/>
    <w:rsid w:val="00C162DC"/>
    <w:rsid w:val="00C2377B"/>
    <w:rsid w:val="00C23E95"/>
    <w:rsid w:val="00C24478"/>
    <w:rsid w:val="00C26772"/>
    <w:rsid w:val="00C312D4"/>
    <w:rsid w:val="00C3138C"/>
    <w:rsid w:val="00C32DD2"/>
    <w:rsid w:val="00C330AE"/>
    <w:rsid w:val="00C33DBF"/>
    <w:rsid w:val="00C350A5"/>
    <w:rsid w:val="00C37142"/>
    <w:rsid w:val="00C3758E"/>
    <w:rsid w:val="00C40DD9"/>
    <w:rsid w:val="00C41DA4"/>
    <w:rsid w:val="00C447FE"/>
    <w:rsid w:val="00C452EE"/>
    <w:rsid w:val="00C469B9"/>
    <w:rsid w:val="00C46C4D"/>
    <w:rsid w:val="00C46D31"/>
    <w:rsid w:val="00C52784"/>
    <w:rsid w:val="00C52F55"/>
    <w:rsid w:val="00C5410C"/>
    <w:rsid w:val="00C5649B"/>
    <w:rsid w:val="00C57B4D"/>
    <w:rsid w:val="00C60758"/>
    <w:rsid w:val="00C61911"/>
    <w:rsid w:val="00C62D8D"/>
    <w:rsid w:val="00C62E5B"/>
    <w:rsid w:val="00C65A4C"/>
    <w:rsid w:val="00C71997"/>
    <w:rsid w:val="00C73AB2"/>
    <w:rsid w:val="00C73F33"/>
    <w:rsid w:val="00C77F21"/>
    <w:rsid w:val="00C80620"/>
    <w:rsid w:val="00C80D01"/>
    <w:rsid w:val="00C81993"/>
    <w:rsid w:val="00C83308"/>
    <w:rsid w:val="00C84A54"/>
    <w:rsid w:val="00C85130"/>
    <w:rsid w:val="00C854A3"/>
    <w:rsid w:val="00C90D2D"/>
    <w:rsid w:val="00C90FAD"/>
    <w:rsid w:val="00C922D1"/>
    <w:rsid w:val="00C92791"/>
    <w:rsid w:val="00C92C4D"/>
    <w:rsid w:val="00C9508F"/>
    <w:rsid w:val="00C972BC"/>
    <w:rsid w:val="00CA10A3"/>
    <w:rsid w:val="00CA197A"/>
    <w:rsid w:val="00CA1F8B"/>
    <w:rsid w:val="00CA2676"/>
    <w:rsid w:val="00CA42B4"/>
    <w:rsid w:val="00CB0445"/>
    <w:rsid w:val="00CB1DB7"/>
    <w:rsid w:val="00CB4477"/>
    <w:rsid w:val="00CB79F0"/>
    <w:rsid w:val="00CC0F5C"/>
    <w:rsid w:val="00CC2321"/>
    <w:rsid w:val="00CC2C34"/>
    <w:rsid w:val="00CC3111"/>
    <w:rsid w:val="00CC37A3"/>
    <w:rsid w:val="00CC5B2E"/>
    <w:rsid w:val="00CC5D30"/>
    <w:rsid w:val="00CC6537"/>
    <w:rsid w:val="00CC6549"/>
    <w:rsid w:val="00CC7909"/>
    <w:rsid w:val="00CD1D97"/>
    <w:rsid w:val="00CD1FB0"/>
    <w:rsid w:val="00CD25A5"/>
    <w:rsid w:val="00CD3F73"/>
    <w:rsid w:val="00CE1887"/>
    <w:rsid w:val="00CE2E47"/>
    <w:rsid w:val="00CE31B2"/>
    <w:rsid w:val="00CE6F33"/>
    <w:rsid w:val="00CF11EC"/>
    <w:rsid w:val="00CF1F3D"/>
    <w:rsid w:val="00CF57CA"/>
    <w:rsid w:val="00D03CF6"/>
    <w:rsid w:val="00D044FD"/>
    <w:rsid w:val="00D04601"/>
    <w:rsid w:val="00D05FFD"/>
    <w:rsid w:val="00D10BCF"/>
    <w:rsid w:val="00D11CF7"/>
    <w:rsid w:val="00D12F10"/>
    <w:rsid w:val="00D1343F"/>
    <w:rsid w:val="00D14DA3"/>
    <w:rsid w:val="00D15DC9"/>
    <w:rsid w:val="00D16263"/>
    <w:rsid w:val="00D20209"/>
    <w:rsid w:val="00D20B81"/>
    <w:rsid w:val="00D23077"/>
    <w:rsid w:val="00D240A5"/>
    <w:rsid w:val="00D26037"/>
    <w:rsid w:val="00D261EC"/>
    <w:rsid w:val="00D2757B"/>
    <w:rsid w:val="00D333FA"/>
    <w:rsid w:val="00D414FF"/>
    <w:rsid w:val="00D41592"/>
    <w:rsid w:val="00D440ED"/>
    <w:rsid w:val="00D4499C"/>
    <w:rsid w:val="00D4539C"/>
    <w:rsid w:val="00D46694"/>
    <w:rsid w:val="00D50094"/>
    <w:rsid w:val="00D5059D"/>
    <w:rsid w:val="00D506EF"/>
    <w:rsid w:val="00D50FF9"/>
    <w:rsid w:val="00D55352"/>
    <w:rsid w:val="00D56073"/>
    <w:rsid w:val="00D563B4"/>
    <w:rsid w:val="00D56604"/>
    <w:rsid w:val="00D6015D"/>
    <w:rsid w:val="00D60D48"/>
    <w:rsid w:val="00D61CD7"/>
    <w:rsid w:val="00D631F1"/>
    <w:rsid w:val="00D66958"/>
    <w:rsid w:val="00D676EC"/>
    <w:rsid w:val="00D72C91"/>
    <w:rsid w:val="00D737EA"/>
    <w:rsid w:val="00D7713C"/>
    <w:rsid w:val="00D776CB"/>
    <w:rsid w:val="00D80F0E"/>
    <w:rsid w:val="00D844B0"/>
    <w:rsid w:val="00D86A19"/>
    <w:rsid w:val="00D908C4"/>
    <w:rsid w:val="00D90F54"/>
    <w:rsid w:val="00D91377"/>
    <w:rsid w:val="00D92C6C"/>
    <w:rsid w:val="00D92E9A"/>
    <w:rsid w:val="00D935BD"/>
    <w:rsid w:val="00D938A4"/>
    <w:rsid w:val="00D93AD9"/>
    <w:rsid w:val="00D94FB5"/>
    <w:rsid w:val="00D9524A"/>
    <w:rsid w:val="00D954B5"/>
    <w:rsid w:val="00D95968"/>
    <w:rsid w:val="00D95BDA"/>
    <w:rsid w:val="00D96F81"/>
    <w:rsid w:val="00D97169"/>
    <w:rsid w:val="00D978ED"/>
    <w:rsid w:val="00DA15A7"/>
    <w:rsid w:val="00DA15C7"/>
    <w:rsid w:val="00DA30E1"/>
    <w:rsid w:val="00DA4317"/>
    <w:rsid w:val="00DA6F6B"/>
    <w:rsid w:val="00DA7BBA"/>
    <w:rsid w:val="00DB02D0"/>
    <w:rsid w:val="00DB1BA2"/>
    <w:rsid w:val="00DB2E22"/>
    <w:rsid w:val="00DB5E23"/>
    <w:rsid w:val="00DB7C88"/>
    <w:rsid w:val="00DC0786"/>
    <w:rsid w:val="00DC1BB2"/>
    <w:rsid w:val="00DC2501"/>
    <w:rsid w:val="00DC5F79"/>
    <w:rsid w:val="00DC7A9B"/>
    <w:rsid w:val="00DD295E"/>
    <w:rsid w:val="00DD4423"/>
    <w:rsid w:val="00DD45B4"/>
    <w:rsid w:val="00DD52BC"/>
    <w:rsid w:val="00DD7D04"/>
    <w:rsid w:val="00DE000C"/>
    <w:rsid w:val="00DE030F"/>
    <w:rsid w:val="00DE135D"/>
    <w:rsid w:val="00DE31BE"/>
    <w:rsid w:val="00DE522E"/>
    <w:rsid w:val="00DE5FBB"/>
    <w:rsid w:val="00DF1799"/>
    <w:rsid w:val="00DF1BEC"/>
    <w:rsid w:val="00DF1D0B"/>
    <w:rsid w:val="00DF3616"/>
    <w:rsid w:val="00DF4589"/>
    <w:rsid w:val="00DF5D06"/>
    <w:rsid w:val="00DF7E05"/>
    <w:rsid w:val="00E0039A"/>
    <w:rsid w:val="00E00E7B"/>
    <w:rsid w:val="00E00E95"/>
    <w:rsid w:val="00E010FC"/>
    <w:rsid w:val="00E03C8D"/>
    <w:rsid w:val="00E04FB1"/>
    <w:rsid w:val="00E1117C"/>
    <w:rsid w:val="00E14FF3"/>
    <w:rsid w:val="00E17B13"/>
    <w:rsid w:val="00E21485"/>
    <w:rsid w:val="00E229AF"/>
    <w:rsid w:val="00E27300"/>
    <w:rsid w:val="00E27CB7"/>
    <w:rsid w:val="00E32219"/>
    <w:rsid w:val="00E3384D"/>
    <w:rsid w:val="00E33EB7"/>
    <w:rsid w:val="00E37A87"/>
    <w:rsid w:val="00E37F4F"/>
    <w:rsid w:val="00E4123F"/>
    <w:rsid w:val="00E430B6"/>
    <w:rsid w:val="00E4520A"/>
    <w:rsid w:val="00E47D59"/>
    <w:rsid w:val="00E50DBF"/>
    <w:rsid w:val="00E5224C"/>
    <w:rsid w:val="00E53AC3"/>
    <w:rsid w:val="00E54959"/>
    <w:rsid w:val="00E56979"/>
    <w:rsid w:val="00E5716A"/>
    <w:rsid w:val="00E633FD"/>
    <w:rsid w:val="00E63F47"/>
    <w:rsid w:val="00E6462F"/>
    <w:rsid w:val="00E64BDD"/>
    <w:rsid w:val="00E64E90"/>
    <w:rsid w:val="00E6620C"/>
    <w:rsid w:val="00E66903"/>
    <w:rsid w:val="00E677C6"/>
    <w:rsid w:val="00E70A37"/>
    <w:rsid w:val="00E7451F"/>
    <w:rsid w:val="00E76D2B"/>
    <w:rsid w:val="00E77C49"/>
    <w:rsid w:val="00E83A48"/>
    <w:rsid w:val="00E84B7D"/>
    <w:rsid w:val="00E86DD9"/>
    <w:rsid w:val="00E90209"/>
    <w:rsid w:val="00E9515B"/>
    <w:rsid w:val="00E9604D"/>
    <w:rsid w:val="00E9772E"/>
    <w:rsid w:val="00EA0849"/>
    <w:rsid w:val="00EA3515"/>
    <w:rsid w:val="00EA4DF7"/>
    <w:rsid w:val="00EA532F"/>
    <w:rsid w:val="00EA57E7"/>
    <w:rsid w:val="00EA63DB"/>
    <w:rsid w:val="00EA671E"/>
    <w:rsid w:val="00EA7742"/>
    <w:rsid w:val="00EB087B"/>
    <w:rsid w:val="00EB1054"/>
    <w:rsid w:val="00EB1EFC"/>
    <w:rsid w:val="00EB3381"/>
    <w:rsid w:val="00EB5E3D"/>
    <w:rsid w:val="00EB6BEB"/>
    <w:rsid w:val="00EB6DB3"/>
    <w:rsid w:val="00EB7114"/>
    <w:rsid w:val="00EB7D92"/>
    <w:rsid w:val="00EC0788"/>
    <w:rsid w:val="00EC0C75"/>
    <w:rsid w:val="00EC5440"/>
    <w:rsid w:val="00EC5796"/>
    <w:rsid w:val="00EC7A00"/>
    <w:rsid w:val="00ED0713"/>
    <w:rsid w:val="00ED106B"/>
    <w:rsid w:val="00ED168B"/>
    <w:rsid w:val="00ED22ED"/>
    <w:rsid w:val="00ED277B"/>
    <w:rsid w:val="00ED28B4"/>
    <w:rsid w:val="00ED7446"/>
    <w:rsid w:val="00ED777F"/>
    <w:rsid w:val="00EE01E7"/>
    <w:rsid w:val="00EE0519"/>
    <w:rsid w:val="00EE31A5"/>
    <w:rsid w:val="00EE3388"/>
    <w:rsid w:val="00EE4BFB"/>
    <w:rsid w:val="00EF0C80"/>
    <w:rsid w:val="00EF0DB1"/>
    <w:rsid w:val="00EF15C0"/>
    <w:rsid w:val="00EF35D1"/>
    <w:rsid w:val="00F063F2"/>
    <w:rsid w:val="00F07CC7"/>
    <w:rsid w:val="00F10A92"/>
    <w:rsid w:val="00F1269C"/>
    <w:rsid w:val="00F131C7"/>
    <w:rsid w:val="00F155EE"/>
    <w:rsid w:val="00F20936"/>
    <w:rsid w:val="00F3150E"/>
    <w:rsid w:val="00F32666"/>
    <w:rsid w:val="00F34747"/>
    <w:rsid w:val="00F35245"/>
    <w:rsid w:val="00F35FCC"/>
    <w:rsid w:val="00F37798"/>
    <w:rsid w:val="00F40367"/>
    <w:rsid w:val="00F40BAC"/>
    <w:rsid w:val="00F4167F"/>
    <w:rsid w:val="00F42775"/>
    <w:rsid w:val="00F44859"/>
    <w:rsid w:val="00F4561A"/>
    <w:rsid w:val="00F4617A"/>
    <w:rsid w:val="00F46CA4"/>
    <w:rsid w:val="00F4704E"/>
    <w:rsid w:val="00F506EB"/>
    <w:rsid w:val="00F51000"/>
    <w:rsid w:val="00F52D28"/>
    <w:rsid w:val="00F53080"/>
    <w:rsid w:val="00F56102"/>
    <w:rsid w:val="00F56CE2"/>
    <w:rsid w:val="00F5724D"/>
    <w:rsid w:val="00F5778D"/>
    <w:rsid w:val="00F5794F"/>
    <w:rsid w:val="00F62E48"/>
    <w:rsid w:val="00F63467"/>
    <w:rsid w:val="00F66D94"/>
    <w:rsid w:val="00F700F0"/>
    <w:rsid w:val="00F725C1"/>
    <w:rsid w:val="00F75E25"/>
    <w:rsid w:val="00F779C0"/>
    <w:rsid w:val="00F84C8B"/>
    <w:rsid w:val="00F869E0"/>
    <w:rsid w:val="00F93405"/>
    <w:rsid w:val="00F936A9"/>
    <w:rsid w:val="00F94235"/>
    <w:rsid w:val="00F94A35"/>
    <w:rsid w:val="00F95DF5"/>
    <w:rsid w:val="00F972A0"/>
    <w:rsid w:val="00FA4DC5"/>
    <w:rsid w:val="00FA77D4"/>
    <w:rsid w:val="00FB4ACA"/>
    <w:rsid w:val="00FB58EA"/>
    <w:rsid w:val="00FB6004"/>
    <w:rsid w:val="00FB63CA"/>
    <w:rsid w:val="00FB793F"/>
    <w:rsid w:val="00FC156C"/>
    <w:rsid w:val="00FC3880"/>
    <w:rsid w:val="00FC3DDD"/>
    <w:rsid w:val="00FC6400"/>
    <w:rsid w:val="00FD1DF0"/>
    <w:rsid w:val="00FD22B6"/>
    <w:rsid w:val="00FD3ACB"/>
    <w:rsid w:val="00FD3C60"/>
    <w:rsid w:val="00FD42B3"/>
    <w:rsid w:val="00FD515A"/>
    <w:rsid w:val="00FD7ED2"/>
    <w:rsid w:val="00FE02F6"/>
    <w:rsid w:val="00FE2EF3"/>
    <w:rsid w:val="00FE35A5"/>
    <w:rsid w:val="00FE45ED"/>
    <w:rsid w:val="00FE7102"/>
    <w:rsid w:val="00FE7727"/>
    <w:rsid w:val="00FF00FA"/>
    <w:rsid w:val="00FF24CC"/>
    <w:rsid w:val="00FF2D0F"/>
    <w:rsid w:val="00FF31E5"/>
    <w:rsid w:val="00FF34D1"/>
    <w:rsid w:val="00FF5BA4"/>
    <w:rsid w:val="00FF7AD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r-Latn-RS" w:eastAsia="sr-Latn-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53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5E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4E5018"/>
    <w:pPr>
      <w:ind w:left="720"/>
      <w:contextualSpacing/>
    </w:pPr>
  </w:style>
  <w:style w:type="paragraph" w:styleId="FootnoteText">
    <w:name w:val="footnote text"/>
    <w:basedOn w:val="Normal"/>
    <w:link w:val="FootnoteTextChar"/>
    <w:uiPriority w:val="99"/>
    <w:unhideWhenUsed/>
    <w:rsid w:val="00AA1254"/>
    <w:pPr>
      <w:spacing w:after="0" w:line="240" w:lineRule="auto"/>
    </w:pPr>
    <w:rPr>
      <w:sz w:val="20"/>
      <w:szCs w:val="20"/>
    </w:rPr>
  </w:style>
  <w:style w:type="character" w:customStyle="1" w:styleId="FootnoteTextChar">
    <w:name w:val="Footnote Text Char"/>
    <w:basedOn w:val="DefaultParagraphFont"/>
    <w:link w:val="FootnoteText"/>
    <w:uiPriority w:val="99"/>
    <w:rsid w:val="00AA1254"/>
    <w:rPr>
      <w:sz w:val="20"/>
      <w:szCs w:val="20"/>
      <w:lang w:val="en-US" w:eastAsia="en-US"/>
    </w:rPr>
  </w:style>
  <w:style w:type="character" w:styleId="FootnoteReference">
    <w:name w:val="footnote reference"/>
    <w:basedOn w:val="DefaultParagraphFont"/>
    <w:uiPriority w:val="99"/>
    <w:semiHidden/>
    <w:unhideWhenUsed/>
    <w:rsid w:val="00AA1254"/>
    <w:rPr>
      <w:vertAlign w:val="superscript"/>
    </w:rPr>
  </w:style>
  <w:style w:type="character" w:styleId="Hyperlink">
    <w:name w:val="Hyperlink"/>
    <w:basedOn w:val="DefaultParagraphFont"/>
    <w:uiPriority w:val="99"/>
    <w:unhideWhenUsed/>
    <w:rsid w:val="007E1FAD"/>
    <w:rPr>
      <w:color w:val="0000FF"/>
      <w:u w:val="single"/>
    </w:rPr>
  </w:style>
  <w:style w:type="character" w:styleId="FollowedHyperlink">
    <w:name w:val="FollowedHyperlink"/>
    <w:basedOn w:val="DefaultParagraphFont"/>
    <w:uiPriority w:val="99"/>
    <w:semiHidden/>
    <w:unhideWhenUsed/>
    <w:rsid w:val="009F3C49"/>
    <w:rPr>
      <w:color w:val="800080" w:themeColor="followedHyperlink"/>
      <w:u w:val="single"/>
    </w:rPr>
  </w:style>
  <w:style w:type="paragraph" w:styleId="BalloonText">
    <w:name w:val="Balloon Text"/>
    <w:basedOn w:val="Normal"/>
    <w:link w:val="BalloonTextChar"/>
    <w:uiPriority w:val="99"/>
    <w:semiHidden/>
    <w:unhideWhenUsed/>
    <w:rsid w:val="00206C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CEF"/>
    <w:rPr>
      <w:rFonts w:ascii="Tahoma" w:hAnsi="Tahoma" w:cs="Tahoma"/>
      <w:sz w:val="16"/>
      <w:szCs w:val="16"/>
    </w:rPr>
  </w:style>
  <w:style w:type="paragraph" w:styleId="Header">
    <w:name w:val="header"/>
    <w:basedOn w:val="Normal"/>
    <w:link w:val="HeaderChar"/>
    <w:uiPriority w:val="99"/>
    <w:unhideWhenUsed/>
    <w:rsid w:val="00D566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D56604"/>
  </w:style>
  <w:style w:type="paragraph" w:styleId="Footer">
    <w:name w:val="footer"/>
    <w:basedOn w:val="Normal"/>
    <w:link w:val="FooterChar"/>
    <w:uiPriority w:val="99"/>
    <w:unhideWhenUsed/>
    <w:rsid w:val="00D566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D56604"/>
  </w:style>
  <w:style w:type="character" w:styleId="CommentReference">
    <w:name w:val="annotation reference"/>
    <w:basedOn w:val="DefaultParagraphFont"/>
    <w:uiPriority w:val="99"/>
    <w:semiHidden/>
    <w:rsid w:val="00BF3283"/>
    <w:rPr>
      <w:rFonts w:cs="Times New Roman"/>
      <w:sz w:val="16"/>
      <w:szCs w:val="16"/>
    </w:rPr>
  </w:style>
  <w:style w:type="paragraph" w:styleId="NormalWeb">
    <w:name w:val="Normal (Web)"/>
    <w:basedOn w:val="Normal"/>
    <w:uiPriority w:val="99"/>
    <w:unhideWhenUsed/>
    <w:rsid w:val="00BF3283"/>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r-Latn-RS" w:eastAsia="sr-Latn-R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965E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5018"/>
    <w:pPr>
      <w:ind w:left="720"/>
      <w:contextualSpacing/>
    </w:pPr>
  </w:style>
  <w:style w:type="paragraph" w:styleId="FootnoteText">
    <w:name w:val="footnote text"/>
    <w:basedOn w:val="Normal"/>
    <w:link w:val="FootnoteTextChar"/>
    <w:uiPriority w:val="99"/>
    <w:unhideWhenUsed/>
    <w:rsid w:val="00AA1254"/>
    <w:pPr>
      <w:spacing w:after="0" w:line="240" w:lineRule="auto"/>
    </w:pPr>
    <w:rPr>
      <w:sz w:val="20"/>
      <w:szCs w:val="20"/>
    </w:rPr>
  </w:style>
  <w:style w:type="character" w:customStyle="1" w:styleId="FootnoteTextChar">
    <w:name w:val="Footnote Text Char"/>
    <w:basedOn w:val="DefaultParagraphFont"/>
    <w:link w:val="FootnoteText"/>
    <w:uiPriority w:val="99"/>
    <w:rsid w:val="00AA1254"/>
    <w:rPr>
      <w:sz w:val="20"/>
      <w:szCs w:val="20"/>
      <w:lang w:val="en-US" w:eastAsia="en-US"/>
    </w:rPr>
  </w:style>
  <w:style w:type="character" w:styleId="FootnoteReference">
    <w:name w:val="footnote reference"/>
    <w:basedOn w:val="DefaultParagraphFont"/>
    <w:uiPriority w:val="99"/>
    <w:semiHidden/>
    <w:unhideWhenUsed/>
    <w:rsid w:val="00AA1254"/>
    <w:rPr>
      <w:vertAlign w:val="superscript"/>
    </w:rPr>
  </w:style>
  <w:style w:type="character" w:styleId="Hyperlink">
    <w:name w:val="Hyperlink"/>
    <w:basedOn w:val="DefaultParagraphFont"/>
    <w:uiPriority w:val="99"/>
    <w:unhideWhenUsed/>
    <w:rsid w:val="007E1FAD"/>
    <w:rPr>
      <w:color w:val="0000FF"/>
      <w:u w:val="single"/>
    </w:rPr>
  </w:style>
  <w:style w:type="character" w:styleId="FollowedHyperlink">
    <w:name w:val="FollowedHyperlink"/>
    <w:basedOn w:val="DefaultParagraphFont"/>
    <w:uiPriority w:val="99"/>
    <w:semiHidden/>
    <w:unhideWhenUsed/>
    <w:rsid w:val="009F3C49"/>
    <w:rPr>
      <w:color w:val="800080" w:themeColor="followedHyperlink"/>
      <w:u w:val="single"/>
    </w:rPr>
  </w:style>
  <w:style w:type="paragraph" w:styleId="BalloonText">
    <w:name w:val="Balloon Text"/>
    <w:basedOn w:val="Normal"/>
    <w:link w:val="BalloonTextChar"/>
    <w:uiPriority w:val="99"/>
    <w:semiHidden/>
    <w:unhideWhenUsed/>
    <w:rsid w:val="00206C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6CEF"/>
    <w:rPr>
      <w:rFonts w:ascii="Tahoma" w:hAnsi="Tahoma" w:cs="Tahoma"/>
      <w:sz w:val="16"/>
      <w:szCs w:val="16"/>
    </w:rPr>
  </w:style>
  <w:style w:type="paragraph" w:styleId="Header">
    <w:name w:val="header"/>
    <w:basedOn w:val="Normal"/>
    <w:link w:val="HeaderChar"/>
    <w:uiPriority w:val="99"/>
    <w:unhideWhenUsed/>
    <w:rsid w:val="00D566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D56604"/>
  </w:style>
  <w:style w:type="paragraph" w:styleId="Footer">
    <w:name w:val="footer"/>
    <w:basedOn w:val="Normal"/>
    <w:link w:val="FooterChar"/>
    <w:uiPriority w:val="99"/>
    <w:unhideWhenUsed/>
    <w:rsid w:val="00D566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D566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043528">
      <w:bodyDiv w:val="1"/>
      <w:marLeft w:val="0"/>
      <w:marRight w:val="0"/>
      <w:marTop w:val="0"/>
      <w:marBottom w:val="0"/>
      <w:divBdr>
        <w:top w:val="none" w:sz="0" w:space="0" w:color="auto"/>
        <w:left w:val="none" w:sz="0" w:space="0" w:color="auto"/>
        <w:bottom w:val="none" w:sz="0" w:space="0" w:color="auto"/>
        <w:right w:val="none" w:sz="0" w:space="0" w:color="auto"/>
      </w:divBdr>
    </w:div>
    <w:div w:id="682903868">
      <w:bodyDiv w:val="1"/>
      <w:marLeft w:val="0"/>
      <w:marRight w:val="0"/>
      <w:marTop w:val="0"/>
      <w:marBottom w:val="0"/>
      <w:divBdr>
        <w:top w:val="none" w:sz="0" w:space="0" w:color="auto"/>
        <w:left w:val="none" w:sz="0" w:space="0" w:color="auto"/>
        <w:bottom w:val="none" w:sz="0" w:space="0" w:color="auto"/>
        <w:right w:val="none" w:sz="0" w:space="0" w:color="auto"/>
      </w:divBdr>
    </w:div>
    <w:div w:id="932207584">
      <w:bodyDiv w:val="1"/>
      <w:marLeft w:val="0"/>
      <w:marRight w:val="0"/>
      <w:marTop w:val="0"/>
      <w:marBottom w:val="0"/>
      <w:divBdr>
        <w:top w:val="none" w:sz="0" w:space="0" w:color="auto"/>
        <w:left w:val="none" w:sz="0" w:space="0" w:color="auto"/>
        <w:bottom w:val="none" w:sz="0" w:space="0" w:color="auto"/>
        <w:right w:val="none" w:sz="0" w:space="0" w:color="auto"/>
      </w:divBdr>
    </w:div>
    <w:div w:id="1309165680">
      <w:bodyDiv w:val="1"/>
      <w:marLeft w:val="0"/>
      <w:marRight w:val="0"/>
      <w:marTop w:val="0"/>
      <w:marBottom w:val="0"/>
      <w:divBdr>
        <w:top w:val="none" w:sz="0" w:space="0" w:color="auto"/>
        <w:left w:val="none" w:sz="0" w:space="0" w:color="auto"/>
        <w:bottom w:val="none" w:sz="0" w:space="0" w:color="auto"/>
        <w:right w:val="none" w:sz="0" w:space="0" w:color="auto"/>
      </w:divBdr>
    </w:div>
    <w:div w:id="1475105147">
      <w:bodyDiv w:val="1"/>
      <w:marLeft w:val="0"/>
      <w:marRight w:val="0"/>
      <w:marTop w:val="0"/>
      <w:marBottom w:val="0"/>
      <w:divBdr>
        <w:top w:val="none" w:sz="0" w:space="0" w:color="auto"/>
        <w:left w:val="none" w:sz="0" w:space="0" w:color="auto"/>
        <w:bottom w:val="none" w:sz="0" w:space="0" w:color="auto"/>
        <w:right w:val="none" w:sz="0" w:space="0" w:color="auto"/>
      </w:divBdr>
    </w:div>
    <w:div w:id="1523980830">
      <w:bodyDiv w:val="1"/>
      <w:marLeft w:val="0"/>
      <w:marRight w:val="0"/>
      <w:marTop w:val="0"/>
      <w:marBottom w:val="0"/>
      <w:divBdr>
        <w:top w:val="none" w:sz="0" w:space="0" w:color="auto"/>
        <w:left w:val="none" w:sz="0" w:space="0" w:color="auto"/>
        <w:bottom w:val="none" w:sz="0" w:space="0" w:color="auto"/>
        <w:right w:val="none" w:sz="0" w:space="0" w:color="auto"/>
      </w:divBdr>
    </w:div>
    <w:div w:id="1782529827">
      <w:bodyDiv w:val="1"/>
      <w:marLeft w:val="0"/>
      <w:marRight w:val="0"/>
      <w:marTop w:val="0"/>
      <w:marBottom w:val="0"/>
      <w:divBdr>
        <w:top w:val="none" w:sz="0" w:space="0" w:color="auto"/>
        <w:left w:val="none" w:sz="0" w:space="0" w:color="auto"/>
        <w:bottom w:val="none" w:sz="0" w:space="0" w:color="auto"/>
        <w:right w:val="none" w:sz="0" w:space="0" w:color="auto"/>
      </w:divBdr>
    </w:div>
    <w:div w:id="1918249340">
      <w:bodyDiv w:val="1"/>
      <w:marLeft w:val="0"/>
      <w:marRight w:val="0"/>
      <w:marTop w:val="0"/>
      <w:marBottom w:val="0"/>
      <w:divBdr>
        <w:top w:val="none" w:sz="0" w:space="0" w:color="auto"/>
        <w:left w:val="none" w:sz="0" w:space="0" w:color="auto"/>
        <w:bottom w:val="none" w:sz="0" w:space="0" w:color="auto"/>
        <w:right w:val="none" w:sz="0" w:space="0" w:color="auto"/>
      </w:divBdr>
    </w:div>
    <w:div w:id="1932931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package" Target="embeddings/Microsoft_Excel_Worksheet3.xlsx"/><Relationship Id="rId26" Type="http://schemas.openxmlformats.org/officeDocument/2006/relationships/package" Target="embeddings/Microsoft_Excel_Worksheet7.xlsx"/><Relationship Id="rId39" Type="http://schemas.openxmlformats.org/officeDocument/2006/relationships/package" Target="embeddings/Microsoft_Excel_Worksheet10.xlsx"/><Relationship Id="rId3" Type="http://schemas.openxmlformats.org/officeDocument/2006/relationships/styles" Target="styles.xml"/><Relationship Id="rId21" Type="http://schemas.openxmlformats.org/officeDocument/2006/relationships/image" Target="media/image6.emf"/><Relationship Id="rId34" Type="http://schemas.openxmlformats.org/officeDocument/2006/relationships/image" Target="media/image11.png"/><Relationship Id="rId42" Type="http://schemas.openxmlformats.org/officeDocument/2006/relationships/image" Target="media/image15.emf"/><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4.emf"/><Relationship Id="rId25" Type="http://schemas.openxmlformats.org/officeDocument/2006/relationships/image" Target="media/image8.emf"/><Relationship Id="rId33" Type="http://schemas.openxmlformats.org/officeDocument/2006/relationships/package" Target="embeddings/Microsoft_Excel_Worksheet8.xlsx"/><Relationship Id="rId38" Type="http://schemas.openxmlformats.org/officeDocument/2006/relationships/image" Target="media/image13.emf"/><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package" Target="embeddings/Microsoft_Excel_Worksheet2.xlsx"/><Relationship Id="rId20" Type="http://schemas.openxmlformats.org/officeDocument/2006/relationships/package" Target="embeddings/Microsoft_Excel_Worksheet4.xlsx"/><Relationship Id="rId29" Type="http://schemas.openxmlformats.org/officeDocument/2006/relationships/hyperlink" Target="http://www.ujn.gov.me/wp-content/uploads/2014/06/Izvjestaj2013.pdf" TargetMode="External"/><Relationship Id="rId41" Type="http://schemas.openxmlformats.org/officeDocument/2006/relationships/package" Target="embeddings/Microsoft_Excel_Worksheet11.xlsx"/><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portal.ujn.gov.rs" TargetMode="External"/><Relationship Id="rId24" Type="http://schemas.openxmlformats.org/officeDocument/2006/relationships/package" Target="embeddings/Microsoft_Excel_Worksheet6.xlsx"/><Relationship Id="rId32" Type="http://schemas.openxmlformats.org/officeDocument/2006/relationships/image" Target="media/image10.emf"/><Relationship Id="rId37" Type="http://schemas.openxmlformats.org/officeDocument/2006/relationships/package" Target="embeddings/Microsoft_Excel_Worksheet9.xlsx"/><Relationship Id="rId40" Type="http://schemas.openxmlformats.org/officeDocument/2006/relationships/image" Target="media/image14.emf"/><Relationship Id="rId45"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image" Target="media/image7.emf"/><Relationship Id="rId28" Type="http://schemas.openxmlformats.org/officeDocument/2006/relationships/hyperlink" Target="http://www.javnanabava.hr/userdocsimages/userfiles/file/Statisti&#269;ka%20izvje&#353;&#263;a/Godi&#353;nja/Statisticko_izvjesce_JN-2011.pdf" TargetMode="External"/><Relationship Id="rId36" Type="http://schemas.openxmlformats.org/officeDocument/2006/relationships/image" Target="media/image12.emf"/><Relationship Id="rId10" Type="http://schemas.openxmlformats.org/officeDocument/2006/relationships/hyperlink" Target="http://www.ujn.gov.rs" TargetMode="External"/><Relationship Id="rId19" Type="http://schemas.openxmlformats.org/officeDocument/2006/relationships/image" Target="media/image5.emf"/><Relationship Id="rId31" Type="http://schemas.openxmlformats.org/officeDocument/2006/relationships/image" Target="cid:ii_1481712d976e7f74" TargetMode="External"/><Relationship Id="rId44" Type="http://schemas.openxmlformats.org/officeDocument/2006/relationships/image" Target="media/image16.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package" Target="embeddings/Microsoft_Excel_Worksheet1.xlsx"/><Relationship Id="rId22" Type="http://schemas.openxmlformats.org/officeDocument/2006/relationships/package" Target="embeddings/Microsoft_Excel_Worksheet5.xlsx"/><Relationship Id="rId27" Type="http://schemas.openxmlformats.org/officeDocument/2006/relationships/hyperlink" Target="http://www.djn.mf.gov.si/resources/files/Sistem_javnega_narocanja/Stat_por_JN2012_IN.pdf" TargetMode="External"/><Relationship Id="rId30" Type="http://schemas.openxmlformats.org/officeDocument/2006/relationships/image" Target="media/image9.png"/><Relationship Id="rId35" Type="http://schemas.openxmlformats.org/officeDocument/2006/relationships/image" Target="cid:ii_1481714ad8abbdb1" TargetMode="External"/><Relationship Id="rId43" Type="http://schemas.openxmlformats.org/officeDocument/2006/relationships/package" Target="embeddings/Microsoft_Excel_Worksheet12.xlsx"/></Relationships>
</file>

<file path=word/_rels/footnotes.xml.rels><?xml version="1.0" encoding="UTF-8" standalone="yes"?>
<Relationships xmlns="http://schemas.openxmlformats.org/package/2006/relationships"><Relationship Id="rId3" Type="http://schemas.openxmlformats.org/officeDocument/2006/relationships/hyperlink" Target="http://www.ujn.gov.me/wp-content/uploads/2014/06/Izvjestaj2013.pdf" TargetMode="External"/><Relationship Id="rId2" Type="http://schemas.openxmlformats.org/officeDocument/2006/relationships/hyperlink" Target="http://www.javnanabava.hr/userdocsimages/userfiles/file/Statisti&#269;ka%20izvje&#353;&#263;a/Godi&#353;nja/Statisticko_izvjesce_JN-2012.pdf" TargetMode="External"/><Relationship Id="rId1" Type="http://schemas.openxmlformats.org/officeDocument/2006/relationships/hyperlink" Target="http://www.ujn.gov.me/wp-content/uploads/2013/07/Izvjestaj2012.pd%20f" TargetMode="Externa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3.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sr-Latn-RS"/>
  <c:roundedCorners val="0"/>
  <mc:AlternateContent xmlns:mc="http://schemas.openxmlformats.org/markup-compatibility/2006">
    <mc:Choice xmlns:c14="http://schemas.microsoft.com/office/drawing/2007/8/2/chart" Requires="c14">
      <c14:style val="107"/>
    </mc:Choice>
    <mc:Fallback>
      <c:style val="7"/>
    </mc:Fallback>
  </mc:AlternateContent>
  <c:clrMapOvr bg1="lt1" tx1="dk1" bg2="lt2" tx2="dk2" accent1="accent1" accent2="accent2" accent3="accent3" accent4="accent4" accent5="accent5" accent6="accent6" hlink="hlink" folHlink="folHlink"/>
  <c:chart>
    <c:autoTitleDeleted val="0"/>
    <c:plotArea>
      <c:layout/>
      <c:lineChart>
        <c:grouping val="standard"/>
        <c:varyColors val="0"/>
        <c:ser>
          <c:idx val="0"/>
          <c:order val="0"/>
          <c:marker>
            <c:symbol val="none"/>
          </c:marker>
          <c:cat>
            <c:strRef>
              <c:f>Sheet1!$A$1:$A$8</c:f>
              <c:strCache>
                <c:ptCount val="8"/>
                <c:pt idx="0">
                  <c:v>јануар</c:v>
                </c:pt>
                <c:pt idx="1">
                  <c:v>фебруар</c:v>
                </c:pt>
                <c:pt idx="2">
                  <c:v>март</c:v>
                </c:pt>
                <c:pt idx="3">
                  <c:v>април</c:v>
                </c:pt>
                <c:pt idx="4">
                  <c:v>мај</c:v>
                </c:pt>
                <c:pt idx="5">
                  <c:v>јун</c:v>
                </c:pt>
                <c:pt idx="6">
                  <c:v>јул</c:v>
                </c:pt>
                <c:pt idx="7">
                  <c:v>август</c:v>
                </c:pt>
              </c:strCache>
            </c:strRef>
          </c:cat>
          <c:val>
            <c:numRef>
              <c:f>Sheet1!$B$1:$B$8</c:f>
              <c:numCache>
                <c:formatCode>General</c:formatCode>
                <c:ptCount val="8"/>
                <c:pt idx="0">
                  <c:v>397</c:v>
                </c:pt>
                <c:pt idx="1">
                  <c:v>480</c:v>
                </c:pt>
                <c:pt idx="2">
                  <c:v>502</c:v>
                </c:pt>
                <c:pt idx="3">
                  <c:v>417</c:v>
                </c:pt>
                <c:pt idx="4">
                  <c:v>370</c:v>
                </c:pt>
                <c:pt idx="5">
                  <c:v>270</c:v>
                </c:pt>
                <c:pt idx="6">
                  <c:v>326</c:v>
                </c:pt>
                <c:pt idx="7">
                  <c:v>188</c:v>
                </c:pt>
              </c:numCache>
            </c:numRef>
          </c:val>
          <c:smooth val="0"/>
        </c:ser>
        <c:dLbls>
          <c:showLegendKey val="0"/>
          <c:showVal val="0"/>
          <c:showCatName val="0"/>
          <c:showSerName val="0"/>
          <c:showPercent val="0"/>
          <c:showBubbleSize val="0"/>
        </c:dLbls>
        <c:marker val="1"/>
        <c:smooth val="0"/>
        <c:axId val="83159296"/>
        <c:axId val="112926720"/>
      </c:lineChart>
      <c:catAx>
        <c:axId val="83159296"/>
        <c:scaling>
          <c:orientation val="minMax"/>
        </c:scaling>
        <c:delete val="0"/>
        <c:axPos val="b"/>
        <c:majorTickMark val="out"/>
        <c:minorTickMark val="none"/>
        <c:tickLblPos val="nextTo"/>
        <c:crossAx val="112926720"/>
        <c:crosses val="autoZero"/>
        <c:auto val="1"/>
        <c:lblAlgn val="ctr"/>
        <c:lblOffset val="100"/>
        <c:noMultiLvlLbl val="0"/>
      </c:catAx>
      <c:valAx>
        <c:axId val="112926720"/>
        <c:scaling>
          <c:orientation val="minMax"/>
        </c:scaling>
        <c:delete val="0"/>
        <c:axPos val="l"/>
        <c:majorGridlines/>
        <c:numFmt formatCode="General" sourceLinked="1"/>
        <c:majorTickMark val="out"/>
        <c:minorTickMark val="none"/>
        <c:tickLblPos val="nextTo"/>
        <c:crossAx val="83159296"/>
        <c:crosses val="autoZero"/>
        <c:crossBetween val="between"/>
      </c:valAx>
    </c:plotArea>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BA4B1-2607-4861-A33D-D319320B9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1028</TotalTime>
  <Pages>33</Pages>
  <Words>8703</Words>
  <Characters>49612</Characters>
  <Application>Microsoft Office Word</Application>
  <DocSecurity>0</DocSecurity>
  <Lines>413</Lines>
  <Paragraphs>116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Danijela Bokan</cp:lastModifiedBy>
  <cp:revision>581</cp:revision>
  <cp:lastPrinted>2014-09-08T11:31:00Z</cp:lastPrinted>
  <dcterms:created xsi:type="dcterms:W3CDTF">2014-09-01T09:55:00Z</dcterms:created>
  <dcterms:modified xsi:type="dcterms:W3CDTF">2014-09-08T11:32:00Z</dcterms:modified>
</cp:coreProperties>
</file>