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Pr="007154FC" w:rsidRDefault="007154FC" w:rsidP="007154FC">
      <w:pPr>
        <w:spacing w:after="0"/>
        <w:jc w:val="center"/>
        <w:rPr>
          <w:b/>
          <w:sz w:val="40"/>
          <w:szCs w:val="40"/>
          <w:lang w:val="sr-Cyrl-RS"/>
        </w:rPr>
      </w:pPr>
      <w:r w:rsidRPr="007154FC">
        <w:rPr>
          <w:b/>
          <w:sz w:val="40"/>
          <w:szCs w:val="40"/>
          <w:lang w:val="sr-Cyrl-RS"/>
        </w:rPr>
        <w:t>СМЕРНИЦЕ ЗА ПОВЕЋАЊЕ УЧЕШЋА МАЛИХ И СРЕДЊИХ ПРЕДУЗЕЋА У ПОСТУПЦИМА ЈАВНИХ НАБАВКИ</w:t>
      </w: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r>
        <w:rPr>
          <w:rFonts w:ascii="Arial" w:hAnsi="Arial" w:cs="Arial"/>
          <w:noProof/>
          <w:color w:val="0000FF"/>
          <w:sz w:val="27"/>
          <w:szCs w:val="27"/>
          <w:lang w:val="sr-Cyrl-ME" w:eastAsia="sr-Cyrl-ME"/>
        </w:rPr>
        <w:drawing>
          <wp:inline distT="0" distB="0" distL="0" distR="0" wp14:anchorId="7C82B9B3" wp14:editId="7A79E8C0">
            <wp:extent cx="2622550" cy="1742440"/>
            <wp:effectExtent l="0" t="0" r="6350" b="0"/>
            <wp:docPr id="1" name="Picture 1" descr="Image result for mala i srednja preduzeca slik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la i srednja preduzeca slik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1742440"/>
                    </a:xfrm>
                    <a:prstGeom prst="rect">
                      <a:avLst/>
                    </a:prstGeom>
                    <a:noFill/>
                    <a:ln>
                      <a:noFill/>
                    </a:ln>
                  </pic:spPr>
                </pic:pic>
              </a:graphicData>
            </a:graphic>
          </wp:inline>
        </w:drawing>
      </w: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p>
    <w:p w:rsidR="007154FC" w:rsidRDefault="007154FC" w:rsidP="004123E9">
      <w:pPr>
        <w:spacing w:after="0"/>
        <w:jc w:val="center"/>
        <w:rPr>
          <w:b/>
          <w:sz w:val="24"/>
          <w:szCs w:val="24"/>
          <w:lang w:val="sr-Cyrl-RS"/>
        </w:rPr>
      </w:pPr>
      <w:bookmarkStart w:id="0" w:name="_GoBack"/>
      <w:bookmarkEnd w:id="0"/>
    </w:p>
    <w:p w:rsidR="007154FC" w:rsidRDefault="007154FC" w:rsidP="004123E9">
      <w:pPr>
        <w:spacing w:after="0"/>
        <w:jc w:val="center"/>
        <w:rPr>
          <w:b/>
          <w:sz w:val="24"/>
          <w:szCs w:val="24"/>
          <w:lang w:val="sr-Cyrl-RS"/>
        </w:rPr>
      </w:pPr>
    </w:p>
    <w:p w:rsidR="007154FC" w:rsidRDefault="007154FC" w:rsidP="007154FC">
      <w:pPr>
        <w:spacing w:after="0"/>
        <w:rPr>
          <w:b/>
          <w:sz w:val="24"/>
          <w:szCs w:val="24"/>
          <w:lang w:val="sr-Cyrl-RS"/>
        </w:rPr>
      </w:pPr>
    </w:p>
    <w:p w:rsidR="007154FC" w:rsidRPr="009A7C39" w:rsidRDefault="007154FC" w:rsidP="009A7C39">
      <w:pPr>
        <w:spacing w:after="0"/>
        <w:jc w:val="center"/>
        <w:rPr>
          <w:sz w:val="24"/>
          <w:szCs w:val="24"/>
          <w:lang w:val="sr-Cyrl-RS"/>
        </w:rPr>
      </w:pPr>
      <w:r>
        <w:rPr>
          <w:sz w:val="24"/>
          <w:szCs w:val="24"/>
          <w:lang w:val="sr-Cyrl-RS"/>
        </w:rPr>
        <w:t>Београд,  2016. годин</w:t>
      </w:r>
      <w:r w:rsidR="00FC0144">
        <w:rPr>
          <w:sz w:val="24"/>
          <w:szCs w:val="24"/>
          <w:lang w:val="sr-Cyrl-RS"/>
        </w:rPr>
        <w:t>а</w:t>
      </w:r>
    </w:p>
    <w:p w:rsidR="00F70555" w:rsidRDefault="00681E7D" w:rsidP="004123E9">
      <w:pPr>
        <w:spacing w:after="0"/>
        <w:jc w:val="center"/>
        <w:rPr>
          <w:b/>
          <w:sz w:val="24"/>
          <w:szCs w:val="24"/>
          <w:lang w:val="sr-Cyrl-RS"/>
        </w:rPr>
      </w:pPr>
      <w:r>
        <w:rPr>
          <w:b/>
          <w:sz w:val="24"/>
          <w:szCs w:val="24"/>
          <w:lang w:val="sr-Cyrl-RS"/>
        </w:rPr>
        <w:lastRenderedPageBreak/>
        <w:t xml:space="preserve">СМЕРНИЦЕ ЗА ПОВЕЋАЊЕ УЧЕШЋА </w:t>
      </w:r>
      <w:r w:rsidR="001D18FE" w:rsidRPr="001D18FE">
        <w:rPr>
          <w:b/>
          <w:sz w:val="24"/>
          <w:szCs w:val="24"/>
          <w:lang w:val="sr-Cyrl-RS"/>
        </w:rPr>
        <w:t>МАЛИХ И СРЕДЊИХ ПРЕДУЗЕЋА У ПОСТУПЦИМА ЈАВНИХ НАБАВКИ</w:t>
      </w:r>
    </w:p>
    <w:p w:rsidR="001F7E46" w:rsidRDefault="001F7E46" w:rsidP="004123E9">
      <w:pPr>
        <w:spacing w:after="0"/>
        <w:jc w:val="center"/>
        <w:rPr>
          <w:b/>
          <w:sz w:val="24"/>
          <w:szCs w:val="24"/>
        </w:rPr>
      </w:pPr>
    </w:p>
    <w:p w:rsidR="005D21A7" w:rsidRDefault="00D427CE" w:rsidP="000C6DF9">
      <w:pPr>
        <w:spacing w:after="0"/>
        <w:ind w:firstLine="708"/>
        <w:rPr>
          <w:b/>
          <w:sz w:val="24"/>
          <w:szCs w:val="24"/>
          <w:lang w:val="sr-Cyrl-RS"/>
        </w:rPr>
      </w:pPr>
      <w:r>
        <w:rPr>
          <w:b/>
          <w:sz w:val="24"/>
          <w:szCs w:val="24"/>
        </w:rPr>
        <w:t>1.</w:t>
      </w:r>
      <w:r w:rsidR="005D21A7">
        <w:rPr>
          <w:b/>
          <w:sz w:val="24"/>
          <w:szCs w:val="24"/>
        </w:rPr>
        <w:t xml:space="preserve"> </w:t>
      </w:r>
      <w:r w:rsidR="005D21A7">
        <w:rPr>
          <w:b/>
          <w:sz w:val="24"/>
          <w:szCs w:val="24"/>
          <w:lang w:val="sr-Cyrl-RS"/>
        </w:rPr>
        <w:t>Увод</w:t>
      </w:r>
    </w:p>
    <w:p w:rsidR="005D21A7" w:rsidRPr="005D21A7" w:rsidRDefault="005D21A7" w:rsidP="005D21A7">
      <w:pPr>
        <w:spacing w:after="0"/>
        <w:rPr>
          <w:b/>
          <w:sz w:val="24"/>
          <w:szCs w:val="24"/>
          <w:lang w:val="sr-Cyrl-RS"/>
        </w:rPr>
      </w:pPr>
    </w:p>
    <w:p w:rsidR="004123E9" w:rsidRDefault="00822D94" w:rsidP="00945334">
      <w:pPr>
        <w:spacing w:after="0"/>
        <w:ind w:firstLine="708"/>
        <w:jc w:val="both"/>
        <w:rPr>
          <w:sz w:val="24"/>
          <w:szCs w:val="24"/>
          <w:lang w:val="sr-Cyrl-RS"/>
        </w:rPr>
      </w:pPr>
      <w:r w:rsidRPr="00822D94">
        <w:rPr>
          <w:sz w:val="24"/>
          <w:szCs w:val="24"/>
          <w:lang w:val="sr-Cyrl-RS"/>
        </w:rPr>
        <w:t>Мик</w:t>
      </w:r>
      <w:r>
        <w:rPr>
          <w:sz w:val="24"/>
          <w:szCs w:val="24"/>
          <w:lang w:val="sr-Cyrl-RS"/>
        </w:rPr>
        <w:t xml:space="preserve">ро, мала и средња предузећа </w:t>
      </w:r>
      <w:r w:rsidR="00575828">
        <w:rPr>
          <w:sz w:val="24"/>
          <w:szCs w:val="24"/>
          <w:lang w:val="sr-Cyrl-RS"/>
        </w:rPr>
        <w:t>(у даљем тексту: М</w:t>
      </w:r>
      <w:r w:rsidR="00663E4C">
        <w:rPr>
          <w:sz w:val="24"/>
          <w:szCs w:val="24"/>
          <w:lang w:val="sr-Cyrl-RS"/>
        </w:rPr>
        <w:t>М</w:t>
      </w:r>
      <w:r w:rsidR="00575828">
        <w:rPr>
          <w:sz w:val="24"/>
          <w:szCs w:val="24"/>
          <w:lang w:val="sr-Cyrl-RS"/>
        </w:rPr>
        <w:t>СП</w:t>
      </w:r>
      <w:r w:rsidR="00805F26">
        <w:rPr>
          <w:sz w:val="24"/>
          <w:szCs w:val="24"/>
          <w:lang w:val="sr-Cyrl-RS"/>
        </w:rPr>
        <w:t xml:space="preserve">) </w:t>
      </w:r>
      <w:r>
        <w:rPr>
          <w:sz w:val="24"/>
          <w:szCs w:val="24"/>
          <w:lang w:val="sr-Cyrl-RS"/>
        </w:rPr>
        <w:t xml:space="preserve">имају </w:t>
      </w:r>
      <w:r w:rsidR="0078680C">
        <w:rPr>
          <w:sz w:val="24"/>
          <w:szCs w:val="24"/>
          <w:lang w:val="sr-Cyrl-RS"/>
        </w:rPr>
        <w:t xml:space="preserve">веома важну </w:t>
      </w:r>
      <w:r>
        <w:rPr>
          <w:sz w:val="24"/>
          <w:szCs w:val="24"/>
          <w:lang w:val="sr-Cyrl-RS"/>
        </w:rPr>
        <w:t xml:space="preserve">улогу у развоју економије сваке земље. </w:t>
      </w:r>
      <w:r w:rsidR="00C16C71">
        <w:rPr>
          <w:sz w:val="24"/>
          <w:szCs w:val="24"/>
          <w:lang w:val="sr-Cyrl-RS"/>
        </w:rPr>
        <w:t xml:space="preserve">Зато је неопходно подстицати и омогућавати њихово учешће у поступцима јавних набавки. Узимајући </w:t>
      </w:r>
      <w:r w:rsidR="001F7E46">
        <w:rPr>
          <w:sz w:val="24"/>
          <w:szCs w:val="24"/>
          <w:lang w:val="sr-Cyrl-RS"/>
        </w:rPr>
        <w:t xml:space="preserve">у обзир </w:t>
      </w:r>
      <w:r w:rsidR="00945334">
        <w:rPr>
          <w:sz w:val="24"/>
          <w:szCs w:val="24"/>
          <w:lang w:val="sr-Cyrl-RS"/>
        </w:rPr>
        <w:t>чињеницу да се набавке укрупњавају</w:t>
      </w:r>
      <w:r w:rsidR="00C16C71">
        <w:rPr>
          <w:sz w:val="24"/>
          <w:szCs w:val="24"/>
          <w:lang w:val="sr-Cyrl-RS"/>
        </w:rPr>
        <w:t xml:space="preserve"> на свим нивоима (републичком, покрајинском и локалном нивоу), нарочиту пажњу би требало обратити да </w:t>
      </w:r>
      <w:r w:rsidR="00663E4C">
        <w:rPr>
          <w:sz w:val="24"/>
          <w:szCs w:val="24"/>
          <w:lang w:val="sr-Cyrl-RS"/>
        </w:rPr>
        <w:t>ММС</w:t>
      </w:r>
      <w:r w:rsidR="00575828" w:rsidRPr="00575828">
        <w:rPr>
          <w:sz w:val="24"/>
          <w:szCs w:val="24"/>
          <w:lang w:val="sr-Cyrl-RS"/>
        </w:rPr>
        <w:t>П</w:t>
      </w:r>
      <w:r w:rsidR="00C16C71">
        <w:rPr>
          <w:sz w:val="24"/>
          <w:szCs w:val="24"/>
          <w:lang w:val="sr-Cyrl-RS"/>
        </w:rPr>
        <w:t xml:space="preserve"> буду укључена</w:t>
      </w:r>
      <w:r w:rsidR="00945334">
        <w:rPr>
          <w:sz w:val="24"/>
          <w:szCs w:val="24"/>
          <w:lang w:val="sr-Cyrl-RS"/>
        </w:rPr>
        <w:t xml:space="preserve"> и у те поступке</w:t>
      </w:r>
      <w:r w:rsidR="00C16C71">
        <w:rPr>
          <w:sz w:val="24"/>
          <w:szCs w:val="24"/>
          <w:lang w:val="sr-Cyrl-RS"/>
        </w:rPr>
        <w:t>.</w:t>
      </w:r>
      <w:r w:rsidR="001D7879">
        <w:rPr>
          <w:sz w:val="24"/>
          <w:szCs w:val="24"/>
          <w:lang w:val="sr-Cyrl-RS"/>
        </w:rPr>
        <w:t xml:space="preserve"> У Директиви 2014/24/ЕУ наведено је да ј</w:t>
      </w:r>
      <w:r w:rsidR="001D7879" w:rsidRPr="001D7879">
        <w:rPr>
          <w:sz w:val="24"/>
          <w:szCs w:val="24"/>
          <w:lang w:val="sr-Cyrl-RS"/>
        </w:rPr>
        <w:t>авне набавке играју кључну улогу у стратегији „Европа 2020, стратегија за паметан, одржив и инклузивни раст” („Стратегија Европа 2020 за паметан, одржив и инклузивни раст”), као један од тржишних инструмената који се користе за постизање паметног, одрживог и инклузивног раста уз истовремено обезбеђивање најефикаснијег коришћења јавних средстава. У ту сврху, правила о јавним набавкама, донета у складу са Директивом 2004/17/ЕЗ Европског парламента и Савета  и Директивом 2004/18/ЕЗ</w:t>
      </w:r>
      <w:r w:rsidR="001D7879">
        <w:rPr>
          <w:sz w:val="24"/>
          <w:szCs w:val="24"/>
          <w:lang w:val="sr-Cyrl-RS"/>
        </w:rPr>
        <w:t xml:space="preserve"> Европског парламента и Савета</w:t>
      </w:r>
      <w:r w:rsidR="001D7879" w:rsidRPr="001D7879">
        <w:rPr>
          <w:sz w:val="24"/>
          <w:szCs w:val="24"/>
          <w:lang w:val="sr-Cyrl-RS"/>
        </w:rPr>
        <w:t>, треба ревидирати и осавременити како би се повећала ефикасност јавне потрошње, олакшавајући посебно учешће малих и средњих предузећа (</w:t>
      </w:r>
      <w:r w:rsidR="00575828" w:rsidRPr="00575828">
        <w:rPr>
          <w:sz w:val="24"/>
          <w:szCs w:val="24"/>
          <w:lang w:val="sr-Cyrl-RS"/>
        </w:rPr>
        <w:t>М</w:t>
      </w:r>
      <w:r w:rsidR="00663E4C">
        <w:rPr>
          <w:sz w:val="24"/>
          <w:szCs w:val="24"/>
          <w:lang w:val="sr-Cyrl-RS"/>
        </w:rPr>
        <w:t>М</w:t>
      </w:r>
      <w:r w:rsidR="00575828" w:rsidRPr="00575828">
        <w:rPr>
          <w:sz w:val="24"/>
          <w:szCs w:val="24"/>
          <w:lang w:val="sr-Cyrl-RS"/>
        </w:rPr>
        <w:t>СП</w:t>
      </w:r>
      <w:r w:rsidR="001D7879" w:rsidRPr="001D7879">
        <w:rPr>
          <w:sz w:val="24"/>
          <w:szCs w:val="24"/>
          <w:lang w:val="sr-Cyrl-RS"/>
        </w:rPr>
        <w:t>) у јавним набавкама, и како би се омогућило добављачима да боље користе јавне набавке за подршку заједничким друштвеним циљевима</w:t>
      </w:r>
      <w:r w:rsidR="001D7879">
        <w:rPr>
          <w:rStyle w:val="FootnoteReference"/>
          <w:sz w:val="24"/>
          <w:szCs w:val="24"/>
          <w:lang w:val="sr-Cyrl-RS"/>
        </w:rPr>
        <w:footnoteReference w:id="1"/>
      </w:r>
      <w:r w:rsidR="001D7879" w:rsidRPr="001D7879">
        <w:rPr>
          <w:sz w:val="24"/>
          <w:szCs w:val="24"/>
          <w:lang w:val="sr-Cyrl-RS"/>
        </w:rPr>
        <w:t>.</w:t>
      </w:r>
    </w:p>
    <w:p w:rsidR="00575828" w:rsidRDefault="00575828" w:rsidP="00945334">
      <w:pPr>
        <w:spacing w:after="0"/>
        <w:ind w:firstLine="708"/>
        <w:jc w:val="both"/>
        <w:rPr>
          <w:sz w:val="24"/>
          <w:szCs w:val="24"/>
          <w:lang w:val="sr-Cyrl-RS"/>
        </w:rPr>
      </w:pPr>
      <w:r w:rsidRPr="00575828">
        <w:rPr>
          <w:sz w:val="24"/>
          <w:szCs w:val="24"/>
          <w:lang w:val="sr-Cyrl-RS"/>
        </w:rPr>
        <w:t>У Републици Србији укупан број М</w:t>
      </w:r>
      <w:r w:rsidR="00663E4C">
        <w:rPr>
          <w:sz w:val="24"/>
          <w:szCs w:val="24"/>
          <w:lang w:val="sr-Cyrl-RS"/>
        </w:rPr>
        <w:t>М</w:t>
      </w:r>
      <w:r w:rsidRPr="00575828">
        <w:rPr>
          <w:sz w:val="24"/>
          <w:szCs w:val="24"/>
          <w:lang w:val="sr-Cyrl-RS"/>
        </w:rPr>
        <w:t xml:space="preserve">СП износи 317.162 што представља 99,8% од укупног броја привредних субјеката. </w:t>
      </w:r>
      <w:r w:rsidR="00BE7F78" w:rsidRPr="00BE7F78">
        <w:rPr>
          <w:sz w:val="24"/>
          <w:szCs w:val="24"/>
          <w:lang w:val="sr-Cyrl-RS"/>
        </w:rPr>
        <w:t>М</w:t>
      </w:r>
      <w:r w:rsidR="00663E4C">
        <w:rPr>
          <w:sz w:val="24"/>
          <w:szCs w:val="24"/>
          <w:lang w:val="sr-Cyrl-RS"/>
        </w:rPr>
        <w:t>МС</w:t>
      </w:r>
      <w:r w:rsidR="00BE7F78" w:rsidRPr="00BE7F78">
        <w:rPr>
          <w:sz w:val="24"/>
          <w:szCs w:val="24"/>
          <w:lang w:val="sr-Cyrl-RS"/>
        </w:rPr>
        <w:t xml:space="preserve">П </w:t>
      </w:r>
      <w:r w:rsidRPr="00575828">
        <w:rPr>
          <w:sz w:val="24"/>
          <w:szCs w:val="24"/>
          <w:lang w:val="sr-Cyrl-RS"/>
        </w:rPr>
        <w:t xml:space="preserve">сектор учествује са 65% запослених од укупно радно способног становништва. Овај сектор учествује у БДП Републике </w:t>
      </w:r>
      <w:r w:rsidR="007E5D58">
        <w:rPr>
          <w:sz w:val="24"/>
          <w:szCs w:val="24"/>
          <w:lang w:val="sr-Cyrl-RS"/>
        </w:rPr>
        <w:t xml:space="preserve">Србије </w:t>
      </w:r>
      <w:r w:rsidRPr="00575828">
        <w:rPr>
          <w:sz w:val="24"/>
          <w:szCs w:val="24"/>
          <w:lang w:val="sr-Cyrl-RS"/>
        </w:rPr>
        <w:t>са око 34%, у извозу</w:t>
      </w:r>
      <w:r w:rsidR="00FF2A51">
        <w:rPr>
          <w:sz w:val="24"/>
          <w:szCs w:val="24"/>
          <w:lang w:val="sr-Cyrl-RS"/>
        </w:rPr>
        <w:t xml:space="preserve"> око 50%. У структури сектора ММ</w:t>
      </w:r>
      <w:r w:rsidRPr="00575828">
        <w:rPr>
          <w:sz w:val="24"/>
          <w:szCs w:val="24"/>
          <w:lang w:val="sr-Cyrl-RS"/>
        </w:rPr>
        <w:t>ПП најбројнија су микро предузећа (305.321), те мала и средња привредна друштва (11.841). Сектори у којима најчешће послују М</w:t>
      </w:r>
      <w:r w:rsidR="00663E4C">
        <w:rPr>
          <w:sz w:val="24"/>
          <w:szCs w:val="24"/>
          <w:lang w:val="sr-Cyrl-RS"/>
        </w:rPr>
        <w:t>М</w:t>
      </w:r>
      <w:r w:rsidRPr="00575828">
        <w:rPr>
          <w:sz w:val="24"/>
          <w:szCs w:val="24"/>
          <w:lang w:val="sr-Cyrl-RS"/>
        </w:rPr>
        <w:t xml:space="preserve">СП су: прерађивачка индустрија, иновационе и техничке делатности, трговина на велико и мало, стручне и научне делатности </w:t>
      </w:r>
      <w:r>
        <w:rPr>
          <w:rStyle w:val="FootnoteReference"/>
          <w:sz w:val="24"/>
          <w:szCs w:val="24"/>
          <w:lang w:val="sr-Cyrl-RS"/>
        </w:rPr>
        <w:footnoteReference w:id="2"/>
      </w:r>
      <w:r w:rsidRPr="00575828">
        <w:rPr>
          <w:sz w:val="24"/>
          <w:szCs w:val="24"/>
          <w:lang w:val="sr-Cyrl-RS"/>
        </w:rPr>
        <w:t>.</w:t>
      </w:r>
    </w:p>
    <w:p w:rsidR="004123E9" w:rsidRPr="004123E9" w:rsidRDefault="00C16C71" w:rsidP="004123E9">
      <w:pPr>
        <w:spacing w:after="0"/>
        <w:ind w:firstLine="708"/>
        <w:jc w:val="both"/>
        <w:rPr>
          <w:sz w:val="24"/>
          <w:szCs w:val="24"/>
          <w:lang w:val="sr-Cyrl-RS"/>
        </w:rPr>
      </w:pPr>
      <w:r>
        <w:rPr>
          <w:sz w:val="24"/>
          <w:szCs w:val="24"/>
          <w:lang w:val="sr-Cyrl-RS"/>
        </w:rPr>
        <w:t xml:space="preserve">Према Закону о рачуноводству („Службени гласник РС“ број 62/2013) </w:t>
      </w:r>
      <w:r w:rsidR="004123E9" w:rsidRPr="004123E9">
        <w:rPr>
          <w:b/>
          <w:sz w:val="24"/>
          <w:szCs w:val="24"/>
          <w:lang w:val="sr-Cyrl-RS"/>
        </w:rPr>
        <w:t xml:space="preserve">микро правна лица </w:t>
      </w:r>
      <w:r w:rsidR="004123E9">
        <w:rPr>
          <w:sz w:val="24"/>
          <w:szCs w:val="24"/>
          <w:lang w:val="sr-Cyrl-RS"/>
        </w:rPr>
        <w:t xml:space="preserve">су </w:t>
      </w:r>
      <w:r w:rsidR="004123E9" w:rsidRPr="004123E9">
        <w:rPr>
          <w:sz w:val="24"/>
          <w:szCs w:val="24"/>
          <w:lang w:val="sr-Cyrl-RS"/>
        </w:rPr>
        <w:t xml:space="preserve">она правна лица која не прелазе два од следећих критеријума: </w:t>
      </w:r>
    </w:p>
    <w:p w:rsidR="004123E9" w:rsidRPr="004123E9" w:rsidRDefault="004123E9" w:rsidP="004123E9">
      <w:pPr>
        <w:spacing w:after="0"/>
        <w:ind w:firstLine="708"/>
        <w:jc w:val="both"/>
        <w:rPr>
          <w:sz w:val="24"/>
          <w:szCs w:val="24"/>
          <w:lang w:val="sr-Cyrl-RS"/>
        </w:rPr>
      </w:pPr>
      <w:r w:rsidRPr="004123E9">
        <w:rPr>
          <w:sz w:val="24"/>
          <w:szCs w:val="24"/>
          <w:lang w:val="sr-Cyrl-RS"/>
        </w:rPr>
        <w:t xml:space="preserve">1) просечан број запослених 10; </w:t>
      </w:r>
    </w:p>
    <w:p w:rsidR="004123E9" w:rsidRPr="004123E9" w:rsidRDefault="004123E9" w:rsidP="004123E9">
      <w:pPr>
        <w:spacing w:after="0"/>
        <w:ind w:firstLine="708"/>
        <w:jc w:val="both"/>
        <w:rPr>
          <w:sz w:val="24"/>
          <w:szCs w:val="24"/>
          <w:lang w:val="sr-Cyrl-RS"/>
        </w:rPr>
      </w:pPr>
      <w:r w:rsidRPr="004123E9">
        <w:rPr>
          <w:sz w:val="24"/>
          <w:szCs w:val="24"/>
          <w:lang w:val="sr-Cyrl-RS"/>
        </w:rPr>
        <w:t xml:space="preserve">2) пословни приход 700.000 ЕУР у динарској противвредности; </w:t>
      </w:r>
    </w:p>
    <w:p w:rsidR="004123E9" w:rsidRPr="004123E9" w:rsidRDefault="004123E9" w:rsidP="004123E9">
      <w:pPr>
        <w:spacing w:after="0"/>
        <w:ind w:firstLine="708"/>
        <w:jc w:val="both"/>
        <w:rPr>
          <w:sz w:val="24"/>
          <w:szCs w:val="24"/>
          <w:lang w:val="sr-Cyrl-RS"/>
        </w:rPr>
      </w:pPr>
      <w:r>
        <w:rPr>
          <w:sz w:val="24"/>
          <w:szCs w:val="24"/>
          <w:lang w:val="sr-Cyrl-RS"/>
        </w:rPr>
        <w:t>3) просечна</w:t>
      </w:r>
      <w:r w:rsidRPr="004123E9">
        <w:rPr>
          <w:sz w:val="24"/>
          <w:szCs w:val="24"/>
          <w:lang w:val="sr-Cyrl-RS"/>
        </w:rPr>
        <w:t xml:space="preserve"> вредност пословне имовине (израчуната као аритметичка средина вредности на почетку и на крају пословне године) 350.000 ЕУР у динарској противвредности. </w:t>
      </w:r>
    </w:p>
    <w:p w:rsidR="004123E9" w:rsidRPr="004123E9" w:rsidRDefault="004123E9" w:rsidP="004123E9">
      <w:pPr>
        <w:spacing w:after="0"/>
        <w:ind w:firstLine="708"/>
        <w:jc w:val="both"/>
        <w:rPr>
          <w:sz w:val="24"/>
          <w:szCs w:val="24"/>
          <w:lang w:val="sr-Cyrl-RS"/>
        </w:rPr>
      </w:pPr>
      <w:r w:rsidRPr="004123E9">
        <w:rPr>
          <w:b/>
          <w:sz w:val="24"/>
          <w:szCs w:val="24"/>
          <w:lang w:val="sr-Cyrl-RS"/>
        </w:rPr>
        <w:t>Мала правна лица</w:t>
      </w:r>
      <w:r w:rsidRPr="004123E9">
        <w:rPr>
          <w:sz w:val="24"/>
          <w:szCs w:val="24"/>
          <w:lang w:val="sr-Cyrl-RS"/>
        </w:rPr>
        <w:t xml:space="preserve"> </w:t>
      </w:r>
      <w:r>
        <w:rPr>
          <w:sz w:val="24"/>
          <w:szCs w:val="24"/>
          <w:lang w:val="sr-Cyrl-RS"/>
        </w:rPr>
        <w:t xml:space="preserve">су </w:t>
      </w:r>
      <w:r w:rsidRPr="004123E9">
        <w:rPr>
          <w:sz w:val="24"/>
          <w:szCs w:val="24"/>
          <w:lang w:val="sr-Cyrl-RS"/>
        </w:rPr>
        <w:t xml:space="preserve">она правна лица која прелазе два </w:t>
      </w:r>
      <w:r>
        <w:rPr>
          <w:sz w:val="24"/>
          <w:szCs w:val="24"/>
          <w:lang w:val="sr-Cyrl-RS"/>
        </w:rPr>
        <w:t xml:space="preserve">од напред наведених </w:t>
      </w:r>
      <w:r w:rsidRPr="004123E9">
        <w:rPr>
          <w:sz w:val="24"/>
          <w:szCs w:val="24"/>
          <w:lang w:val="sr-Cyrl-RS"/>
        </w:rPr>
        <w:t xml:space="preserve">критеријума, али не прелазе два од следећих критеријума: </w:t>
      </w:r>
    </w:p>
    <w:p w:rsidR="004123E9" w:rsidRPr="004123E9" w:rsidRDefault="004123E9" w:rsidP="004123E9">
      <w:pPr>
        <w:spacing w:after="0"/>
        <w:ind w:firstLine="708"/>
        <w:jc w:val="both"/>
        <w:rPr>
          <w:sz w:val="24"/>
          <w:szCs w:val="24"/>
          <w:lang w:val="sr-Cyrl-RS"/>
        </w:rPr>
      </w:pPr>
      <w:r w:rsidRPr="004123E9">
        <w:rPr>
          <w:sz w:val="24"/>
          <w:szCs w:val="24"/>
          <w:lang w:val="sr-Cyrl-RS"/>
        </w:rPr>
        <w:t xml:space="preserve">1) просечан број запослених 50; </w:t>
      </w:r>
    </w:p>
    <w:p w:rsidR="004123E9" w:rsidRPr="004123E9" w:rsidRDefault="004123E9" w:rsidP="004123E9">
      <w:pPr>
        <w:spacing w:after="0"/>
        <w:ind w:firstLine="708"/>
        <w:jc w:val="both"/>
        <w:rPr>
          <w:sz w:val="24"/>
          <w:szCs w:val="24"/>
          <w:lang w:val="sr-Cyrl-RS"/>
        </w:rPr>
      </w:pPr>
      <w:r w:rsidRPr="004123E9">
        <w:rPr>
          <w:sz w:val="24"/>
          <w:szCs w:val="24"/>
          <w:lang w:val="sr-Cyrl-RS"/>
        </w:rPr>
        <w:lastRenderedPageBreak/>
        <w:t xml:space="preserve">2) пословни приход 8.800.000 ЕУР у динарској противвредности; </w:t>
      </w:r>
    </w:p>
    <w:p w:rsidR="004123E9" w:rsidRPr="004123E9" w:rsidRDefault="004123E9" w:rsidP="004123E9">
      <w:pPr>
        <w:spacing w:after="0"/>
        <w:ind w:firstLine="708"/>
        <w:jc w:val="both"/>
        <w:rPr>
          <w:sz w:val="24"/>
          <w:szCs w:val="24"/>
          <w:lang w:val="sr-Cyrl-RS"/>
        </w:rPr>
      </w:pPr>
      <w:r w:rsidRPr="004123E9">
        <w:rPr>
          <w:sz w:val="24"/>
          <w:szCs w:val="24"/>
          <w:lang w:val="sr-Cyrl-RS"/>
        </w:rPr>
        <w:t xml:space="preserve">3) просечна вредност пословне имовине (израчуната као аритметичка средина вредности на почетку и на крају пословне године) 4.400.000 ЕУР у динарској противвредности. </w:t>
      </w:r>
    </w:p>
    <w:p w:rsidR="004123E9" w:rsidRPr="004123E9" w:rsidRDefault="004123E9" w:rsidP="004123E9">
      <w:pPr>
        <w:spacing w:after="0"/>
        <w:ind w:firstLine="708"/>
        <w:jc w:val="both"/>
        <w:rPr>
          <w:sz w:val="24"/>
          <w:szCs w:val="24"/>
          <w:lang w:val="sr-Cyrl-RS"/>
        </w:rPr>
      </w:pPr>
      <w:r>
        <w:rPr>
          <w:sz w:val="24"/>
          <w:szCs w:val="24"/>
          <w:lang w:val="sr-Cyrl-RS"/>
        </w:rPr>
        <w:t xml:space="preserve"> У </w:t>
      </w:r>
      <w:r w:rsidRPr="004123E9">
        <w:rPr>
          <w:b/>
          <w:sz w:val="24"/>
          <w:szCs w:val="24"/>
          <w:lang w:val="sr-Cyrl-RS"/>
        </w:rPr>
        <w:t>средња правна лица</w:t>
      </w:r>
      <w:r w:rsidRPr="004123E9">
        <w:rPr>
          <w:sz w:val="24"/>
          <w:szCs w:val="24"/>
          <w:lang w:val="sr-Cyrl-RS"/>
        </w:rPr>
        <w:t xml:space="preserve"> разврставају се она правна лица која прелазе два </w:t>
      </w:r>
      <w:r>
        <w:rPr>
          <w:sz w:val="24"/>
          <w:szCs w:val="24"/>
          <w:lang w:val="sr-Cyrl-RS"/>
        </w:rPr>
        <w:t>од наведених критеријума за мала правна лица</w:t>
      </w:r>
      <w:r w:rsidRPr="004123E9">
        <w:rPr>
          <w:sz w:val="24"/>
          <w:szCs w:val="24"/>
          <w:lang w:val="sr-Cyrl-RS"/>
        </w:rPr>
        <w:t xml:space="preserve">, али не прелазе два од следећих критеријума: </w:t>
      </w:r>
    </w:p>
    <w:p w:rsidR="004123E9" w:rsidRPr="004123E9" w:rsidRDefault="004123E9" w:rsidP="004123E9">
      <w:pPr>
        <w:spacing w:after="0"/>
        <w:ind w:firstLine="708"/>
        <w:jc w:val="both"/>
        <w:rPr>
          <w:sz w:val="24"/>
          <w:szCs w:val="24"/>
          <w:lang w:val="sr-Cyrl-RS"/>
        </w:rPr>
      </w:pPr>
      <w:r w:rsidRPr="004123E9">
        <w:rPr>
          <w:sz w:val="24"/>
          <w:szCs w:val="24"/>
          <w:lang w:val="sr-Cyrl-RS"/>
        </w:rPr>
        <w:t xml:space="preserve">1) просечан број запослених 250; </w:t>
      </w:r>
    </w:p>
    <w:p w:rsidR="00C16C71" w:rsidRDefault="004123E9" w:rsidP="004123E9">
      <w:pPr>
        <w:spacing w:after="0"/>
        <w:ind w:firstLine="708"/>
        <w:jc w:val="both"/>
        <w:rPr>
          <w:sz w:val="24"/>
          <w:szCs w:val="24"/>
          <w:lang w:val="sr-Cyrl-RS"/>
        </w:rPr>
      </w:pPr>
      <w:r w:rsidRPr="004123E9">
        <w:rPr>
          <w:sz w:val="24"/>
          <w:szCs w:val="24"/>
          <w:lang w:val="sr-Cyrl-RS"/>
        </w:rPr>
        <w:t>2) пословни приход 35.000.000 ЕУР у динарској противвредности;</w:t>
      </w:r>
    </w:p>
    <w:p w:rsidR="004123E9" w:rsidRDefault="004123E9" w:rsidP="004123E9">
      <w:pPr>
        <w:spacing w:after="0"/>
        <w:ind w:firstLine="708"/>
        <w:jc w:val="both"/>
        <w:rPr>
          <w:sz w:val="24"/>
          <w:szCs w:val="24"/>
          <w:lang w:val="sr-Cyrl-RS"/>
        </w:rPr>
      </w:pPr>
      <w:r w:rsidRPr="004123E9">
        <w:rPr>
          <w:sz w:val="24"/>
          <w:szCs w:val="24"/>
          <w:lang w:val="sr-Cyrl-RS"/>
        </w:rPr>
        <w:t>3) просечна вредност пословне имовине (израчуната као аритметичка средина вредности на почетку и на крају пословне године) 17.500.000 ЕУР у динарској противвредности.</w:t>
      </w:r>
    </w:p>
    <w:p w:rsidR="00C16C71" w:rsidRDefault="00C16C71" w:rsidP="004123E9">
      <w:pPr>
        <w:spacing w:after="0"/>
        <w:ind w:firstLine="708"/>
        <w:jc w:val="both"/>
        <w:rPr>
          <w:sz w:val="24"/>
          <w:szCs w:val="24"/>
          <w:lang w:val="sr-Cyrl-RS"/>
        </w:rPr>
      </w:pPr>
    </w:p>
    <w:tbl>
      <w:tblPr>
        <w:tblStyle w:val="MediumGrid1-Accent2"/>
        <w:tblW w:w="5000" w:type="pct"/>
        <w:tblLook w:val="04A0" w:firstRow="1" w:lastRow="0" w:firstColumn="1" w:lastColumn="0" w:noHBand="0" w:noVBand="1"/>
      </w:tblPr>
      <w:tblGrid>
        <w:gridCol w:w="1386"/>
        <w:gridCol w:w="1700"/>
        <w:gridCol w:w="2762"/>
        <w:gridCol w:w="3440"/>
      </w:tblGrid>
      <w:tr w:rsidR="008A3BDF" w:rsidRPr="007D3E91" w:rsidTr="005C1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shd w:val="clear" w:color="auto" w:fill="C0504D" w:themeFill="accent2"/>
          </w:tcPr>
          <w:p w:rsidR="00C16C71" w:rsidRPr="007D3E91" w:rsidRDefault="00C16C71" w:rsidP="004123E9">
            <w:pPr>
              <w:rPr>
                <w:rFonts w:cs="Times New Roman"/>
                <w:sz w:val="24"/>
                <w:szCs w:val="24"/>
                <w:lang w:val="sr-Cyrl-RS"/>
              </w:rPr>
            </w:pPr>
            <w:r w:rsidRPr="007D3E91">
              <w:rPr>
                <w:rFonts w:cs="Times New Roman"/>
                <w:sz w:val="24"/>
                <w:szCs w:val="24"/>
                <w:lang w:val="sr-Cyrl-RS"/>
              </w:rPr>
              <w:t>Правна лица</w:t>
            </w:r>
          </w:p>
        </w:tc>
        <w:tc>
          <w:tcPr>
            <w:tcW w:w="915" w:type="pct"/>
            <w:shd w:val="clear" w:color="auto" w:fill="C0504D" w:themeFill="accent2"/>
          </w:tcPr>
          <w:p w:rsidR="00C16C71" w:rsidRPr="007D3E91" w:rsidRDefault="00C16C71" w:rsidP="004123E9">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sr-Cyrl-RS"/>
              </w:rPr>
            </w:pPr>
            <w:r w:rsidRPr="007D3E91">
              <w:rPr>
                <w:rFonts w:cs="Times New Roman"/>
                <w:sz w:val="24"/>
                <w:szCs w:val="24"/>
                <w:lang w:val="sr-Cyrl-RS"/>
              </w:rPr>
              <w:t>Просечан број запослених</w:t>
            </w:r>
          </w:p>
        </w:tc>
        <w:tc>
          <w:tcPr>
            <w:tcW w:w="1487" w:type="pct"/>
            <w:shd w:val="clear" w:color="auto" w:fill="C0504D" w:themeFill="accent2"/>
          </w:tcPr>
          <w:p w:rsidR="00C16C71" w:rsidRPr="005C194A" w:rsidRDefault="00C16C71" w:rsidP="004123E9">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sr-Cyrl-RS"/>
              </w:rPr>
            </w:pPr>
            <w:r w:rsidRPr="005C194A">
              <w:rPr>
                <w:rFonts w:cs="Times New Roman"/>
                <w:sz w:val="24"/>
                <w:szCs w:val="24"/>
                <w:lang w:val="sr-Cyrl-RS"/>
              </w:rPr>
              <w:t>П</w:t>
            </w:r>
            <w:r w:rsidRPr="005C194A">
              <w:rPr>
                <w:rFonts w:cs="Times New Roman"/>
                <w:sz w:val="24"/>
                <w:szCs w:val="24"/>
              </w:rPr>
              <w:t>ословни приход</w:t>
            </w:r>
            <w:r w:rsidRPr="005C194A">
              <w:rPr>
                <w:rFonts w:cs="Times New Roman"/>
                <w:sz w:val="24"/>
                <w:szCs w:val="24"/>
                <w:lang w:val="sr-Cyrl-RS"/>
              </w:rPr>
              <w:t xml:space="preserve"> (у динарској противвредности)</w:t>
            </w:r>
          </w:p>
        </w:tc>
        <w:tc>
          <w:tcPr>
            <w:tcW w:w="1852" w:type="pct"/>
            <w:shd w:val="clear" w:color="auto" w:fill="C0504D" w:themeFill="accent2"/>
          </w:tcPr>
          <w:p w:rsidR="00C16C71" w:rsidRPr="005C194A" w:rsidRDefault="00C16C71" w:rsidP="004123E9">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lang w:val="sr-Cyrl-RS"/>
              </w:rPr>
            </w:pPr>
            <w:r w:rsidRPr="005C194A">
              <w:rPr>
                <w:rFonts w:cs="Times New Roman"/>
                <w:sz w:val="24"/>
                <w:szCs w:val="24"/>
                <w:lang w:val="sr-Cyrl-RS"/>
              </w:rPr>
              <w:t>П</w:t>
            </w:r>
            <w:r w:rsidRPr="005C194A">
              <w:rPr>
                <w:rFonts w:cs="Times New Roman"/>
                <w:sz w:val="24"/>
                <w:szCs w:val="24"/>
              </w:rPr>
              <w:t>росечна вредност пословне имовине</w:t>
            </w:r>
            <w:r w:rsidRPr="005C194A">
              <w:rPr>
                <w:rFonts w:cs="Times New Roman"/>
                <w:sz w:val="24"/>
                <w:szCs w:val="24"/>
                <w:lang w:val="sr-Cyrl-RS"/>
              </w:rPr>
              <w:t xml:space="preserve"> (у динарској противвредности</w:t>
            </w:r>
            <w:r w:rsidRPr="005C194A">
              <w:rPr>
                <w:sz w:val="24"/>
                <w:szCs w:val="24"/>
                <w:lang w:val="sr-Cyrl-RS"/>
              </w:rPr>
              <w:t>)</w:t>
            </w:r>
          </w:p>
        </w:tc>
      </w:tr>
      <w:tr w:rsidR="008A3BDF" w:rsidRPr="007D3E91" w:rsidTr="005C1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Borders>
              <w:bottom w:val="single" w:sz="8" w:space="0" w:color="CF7B79" w:themeColor="accent2" w:themeTint="BF"/>
            </w:tcBorders>
          </w:tcPr>
          <w:p w:rsidR="00C16C71" w:rsidRPr="007D3E91" w:rsidRDefault="00C16C71" w:rsidP="004123E9">
            <w:pPr>
              <w:rPr>
                <w:rFonts w:cs="Times New Roman"/>
                <w:sz w:val="24"/>
                <w:szCs w:val="24"/>
                <w:lang w:val="sr-Cyrl-RS"/>
              </w:rPr>
            </w:pPr>
            <w:r w:rsidRPr="007D3E91">
              <w:rPr>
                <w:rFonts w:cs="Times New Roman"/>
                <w:sz w:val="24"/>
                <w:szCs w:val="24"/>
                <w:lang w:val="sr-Cyrl-RS"/>
              </w:rPr>
              <w:t>Микро правна лица</w:t>
            </w:r>
          </w:p>
        </w:tc>
        <w:tc>
          <w:tcPr>
            <w:tcW w:w="915" w:type="pct"/>
            <w:tcBorders>
              <w:bottom w:val="single" w:sz="8" w:space="0" w:color="CF7B79" w:themeColor="accent2" w:themeTint="BF"/>
            </w:tcBorders>
          </w:tcPr>
          <w:p w:rsidR="00C16C71" w:rsidRPr="007D3E91" w:rsidRDefault="00C16C71" w:rsidP="004123E9">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val="sr-Cyrl-RS"/>
              </w:rPr>
            </w:pPr>
          </w:p>
          <w:p w:rsidR="00C16C71" w:rsidRPr="007D3E91" w:rsidRDefault="00C16C71" w:rsidP="004123E9">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val="sr-Cyrl-RS"/>
              </w:rPr>
            </w:pPr>
            <w:r w:rsidRPr="007D3E91">
              <w:rPr>
                <w:rFonts w:cs="Times New Roman"/>
                <w:sz w:val="24"/>
                <w:szCs w:val="24"/>
                <w:lang w:val="sr-Cyrl-RS"/>
              </w:rPr>
              <w:t>˂ 10</w:t>
            </w:r>
          </w:p>
        </w:tc>
        <w:tc>
          <w:tcPr>
            <w:tcW w:w="1487" w:type="pct"/>
            <w:tcBorders>
              <w:bottom w:val="single" w:sz="8" w:space="0" w:color="CF7B79" w:themeColor="accent2" w:themeTint="BF"/>
            </w:tcBorders>
          </w:tcPr>
          <w:p w:rsidR="00C16C71" w:rsidRPr="007D3E91" w:rsidRDefault="00C16C71" w:rsidP="004123E9">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val="sr-Cyrl-RS"/>
              </w:rPr>
            </w:pPr>
          </w:p>
          <w:p w:rsidR="00C16C71" w:rsidRPr="007D3E91" w:rsidRDefault="00C16C71" w:rsidP="004123E9">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D3E91">
              <w:rPr>
                <w:rFonts w:cs="Times New Roman"/>
                <w:sz w:val="24"/>
                <w:szCs w:val="24"/>
                <w:lang w:val="sr-Cyrl-RS"/>
              </w:rPr>
              <w:t xml:space="preserve">˂ </w:t>
            </w:r>
            <w:r w:rsidRPr="007D3E91">
              <w:rPr>
                <w:rFonts w:cs="Times New Roman"/>
                <w:sz w:val="24"/>
                <w:szCs w:val="24"/>
              </w:rPr>
              <w:t>700.000 ЕУР</w:t>
            </w:r>
          </w:p>
        </w:tc>
        <w:tc>
          <w:tcPr>
            <w:tcW w:w="1852" w:type="pct"/>
            <w:tcBorders>
              <w:bottom w:val="single" w:sz="8" w:space="0" w:color="CF7B79" w:themeColor="accent2" w:themeTint="BF"/>
            </w:tcBorders>
          </w:tcPr>
          <w:p w:rsidR="00C16C71" w:rsidRPr="007D3E91" w:rsidRDefault="00C16C71" w:rsidP="004123E9">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val="sr-Cyrl-RS"/>
              </w:rPr>
            </w:pPr>
          </w:p>
          <w:p w:rsidR="00C16C71" w:rsidRPr="007D3E91" w:rsidRDefault="00C16C71" w:rsidP="004123E9">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D3E91">
              <w:rPr>
                <w:rFonts w:cs="Times New Roman"/>
                <w:sz w:val="24"/>
                <w:szCs w:val="24"/>
                <w:lang w:val="sr-Cyrl-RS"/>
              </w:rPr>
              <w:t xml:space="preserve">˂ </w:t>
            </w:r>
            <w:r w:rsidRPr="007D3E91">
              <w:rPr>
                <w:rFonts w:cs="Times New Roman"/>
                <w:sz w:val="24"/>
                <w:szCs w:val="24"/>
              </w:rPr>
              <w:t>350.000 ЕУР</w:t>
            </w:r>
          </w:p>
        </w:tc>
      </w:tr>
      <w:tr w:rsidR="008A3BDF" w:rsidRPr="007D3E91" w:rsidTr="005C194A">
        <w:tc>
          <w:tcPr>
            <w:cnfStyle w:val="001000000000" w:firstRow="0" w:lastRow="0" w:firstColumn="1" w:lastColumn="0" w:oddVBand="0" w:evenVBand="0" w:oddHBand="0" w:evenHBand="0" w:firstRowFirstColumn="0" w:firstRowLastColumn="0" w:lastRowFirstColumn="0" w:lastRowLastColumn="0"/>
            <w:tcW w:w="746" w:type="pct"/>
            <w:shd w:val="clear" w:color="auto" w:fill="FABF8F" w:themeFill="accent6" w:themeFillTint="99"/>
          </w:tcPr>
          <w:p w:rsidR="00C16C71" w:rsidRPr="007D3E91" w:rsidRDefault="00C16C71" w:rsidP="004123E9">
            <w:pPr>
              <w:rPr>
                <w:rFonts w:cs="Times New Roman"/>
                <w:sz w:val="24"/>
                <w:szCs w:val="24"/>
                <w:lang w:val="sr-Cyrl-RS"/>
              </w:rPr>
            </w:pPr>
            <w:r w:rsidRPr="007D3E91">
              <w:rPr>
                <w:rFonts w:cs="Times New Roman"/>
                <w:sz w:val="24"/>
                <w:szCs w:val="24"/>
                <w:lang w:val="sr-Cyrl-RS"/>
              </w:rPr>
              <w:t>Мала правна лица</w:t>
            </w:r>
          </w:p>
        </w:tc>
        <w:tc>
          <w:tcPr>
            <w:tcW w:w="915" w:type="pct"/>
            <w:shd w:val="clear" w:color="auto" w:fill="FABF8F" w:themeFill="accent6" w:themeFillTint="99"/>
          </w:tcPr>
          <w:p w:rsidR="00945334" w:rsidRPr="007D3E91" w:rsidRDefault="00945334" w:rsidP="00945334">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lang w:val="sr-Cyrl-RS"/>
              </w:rPr>
            </w:pPr>
          </w:p>
          <w:p w:rsidR="00C16C71" w:rsidRPr="007D3E91" w:rsidRDefault="00945334" w:rsidP="00945334">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D3E91">
              <w:rPr>
                <w:rFonts w:cs="Times New Roman"/>
                <w:sz w:val="24"/>
                <w:szCs w:val="24"/>
                <w:lang w:val="sr-Cyrl-RS"/>
              </w:rPr>
              <w:t xml:space="preserve">10 </w:t>
            </w:r>
            <w:r w:rsidRPr="007D3E91">
              <w:rPr>
                <w:rFonts w:cs="Times New Roman"/>
                <w:sz w:val="24"/>
                <w:szCs w:val="24"/>
              </w:rPr>
              <w:t xml:space="preserve">˂ </w:t>
            </w:r>
            <w:r w:rsidRPr="007D3E91">
              <w:rPr>
                <w:rFonts w:cs="Times New Roman"/>
                <w:sz w:val="24"/>
                <w:szCs w:val="24"/>
                <w:lang w:val="sr-Cyrl-RS"/>
              </w:rPr>
              <w:t xml:space="preserve">Зп </w:t>
            </w:r>
            <w:r w:rsidR="00C16C71" w:rsidRPr="007D3E91">
              <w:rPr>
                <w:rFonts w:cs="Times New Roman"/>
                <w:sz w:val="24"/>
                <w:szCs w:val="24"/>
              </w:rPr>
              <w:t xml:space="preserve">˂ </w:t>
            </w:r>
            <w:r w:rsidR="00C16C71" w:rsidRPr="007D3E91">
              <w:rPr>
                <w:rFonts w:cs="Times New Roman"/>
                <w:sz w:val="24"/>
                <w:szCs w:val="24"/>
                <w:lang w:val="sr-Cyrl-RS"/>
              </w:rPr>
              <w:t>5</w:t>
            </w:r>
            <w:r w:rsidR="00C16C71" w:rsidRPr="007D3E91">
              <w:rPr>
                <w:rFonts w:cs="Times New Roman"/>
                <w:sz w:val="24"/>
                <w:szCs w:val="24"/>
              </w:rPr>
              <w:t>0</w:t>
            </w:r>
          </w:p>
        </w:tc>
        <w:tc>
          <w:tcPr>
            <w:tcW w:w="1487" w:type="pct"/>
            <w:shd w:val="clear" w:color="auto" w:fill="FABF8F" w:themeFill="accent6" w:themeFillTint="99"/>
          </w:tcPr>
          <w:p w:rsidR="00945334" w:rsidRPr="007D3E91" w:rsidRDefault="00945334" w:rsidP="00945334">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lang w:val="sr-Cyrl-RS"/>
              </w:rPr>
            </w:pPr>
          </w:p>
          <w:p w:rsidR="00C16C71" w:rsidRPr="007D3E91" w:rsidRDefault="00D0580A" w:rsidP="00D0580A">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lang w:val="sr-Cyrl-RS"/>
              </w:rPr>
            </w:pPr>
            <w:r w:rsidRPr="007D3E91">
              <w:rPr>
                <w:rFonts w:cs="Times New Roman"/>
                <w:sz w:val="24"/>
                <w:szCs w:val="24"/>
              </w:rPr>
              <w:t>700.000 ЕУР ˂</w:t>
            </w:r>
            <w:r w:rsidRPr="007D3E91">
              <w:rPr>
                <w:rFonts w:cs="Times New Roman"/>
                <w:sz w:val="24"/>
                <w:szCs w:val="24"/>
                <w:lang w:val="sr-Cyrl-RS"/>
              </w:rPr>
              <w:t xml:space="preserve"> Пп </w:t>
            </w:r>
            <w:r w:rsidR="00C16C71" w:rsidRPr="007D3E91">
              <w:rPr>
                <w:rFonts w:cs="Times New Roman"/>
                <w:sz w:val="24"/>
                <w:szCs w:val="24"/>
                <w:lang w:val="sr-Cyrl-RS"/>
              </w:rPr>
              <w:t xml:space="preserve">˂ </w:t>
            </w:r>
            <w:r w:rsidR="00C16C71" w:rsidRPr="007D3E91">
              <w:rPr>
                <w:rFonts w:cs="Times New Roman"/>
                <w:sz w:val="24"/>
                <w:szCs w:val="24"/>
              </w:rPr>
              <w:t>8.800.000 ЕУР</w:t>
            </w:r>
          </w:p>
        </w:tc>
        <w:tc>
          <w:tcPr>
            <w:tcW w:w="1852" w:type="pct"/>
            <w:shd w:val="clear" w:color="auto" w:fill="FABF8F" w:themeFill="accent6" w:themeFillTint="99"/>
          </w:tcPr>
          <w:p w:rsidR="00C16C71" w:rsidRPr="007D3E91" w:rsidRDefault="00C16C71" w:rsidP="004123E9">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lang w:val="sr-Cyrl-RS"/>
              </w:rPr>
            </w:pPr>
          </w:p>
          <w:p w:rsidR="00C16C71" w:rsidRPr="007D3E91" w:rsidRDefault="00D0580A" w:rsidP="004123E9">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7D3E91">
              <w:rPr>
                <w:rFonts w:cs="Times New Roman"/>
                <w:sz w:val="24"/>
                <w:szCs w:val="24"/>
                <w:lang w:val="sr-Cyrl-RS"/>
              </w:rPr>
              <w:t xml:space="preserve">350.000 ЕУР ˂ Пи </w:t>
            </w:r>
            <w:r w:rsidR="00C16C71" w:rsidRPr="007D3E91">
              <w:rPr>
                <w:rFonts w:cs="Times New Roman"/>
                <w:sz w:val="24"/>
                <w:szCs w:val="24"/>
                <w:lang w:val="sr-Cyrl-RS"/>
              </w:rPr>
              <w:t xml:space="preserve">˂ </w:t>
            </w:r>
            <w:r w:rsidR="00C16C71" w:rsidRPr="007D3E91">
              <w:rPr>
                <w:rFonts w:cs="Times New Roman"/>
                <w:sz w:val="24"/>
                <w:szCs w:val="24"/>
              </w:rPr>
              <w:t>4.400.000</w:t>
            </w:r>
            <w:r w:rsidR="00C16C71" w:rsidRPr="007D3E91">
              <w:rPr>
                <w:rFonts w:cs="Times New Roman"/>
                <w:sz w:val="24"/>
                <w:szCs w:val="24"/>
                <w:lang w:val="sr-Cyrl-RS"/>
              </w:rPr>
              <w:t xml:space="preserve"> </w:t>
            </w:r>
            <w:r w:rsidR="00C16C71" w:rsidRPr="007D3E91">
              <w:rPr>
                <w:rFonts w:cs="Times New Roman"/>
                <w:sz w:val="24"/>
                <w:szCs w:val="24"/>
              </w:rPr>
              <w:t>ЕУР</w:t>
            </w:r>
          </w:p>
        </w:tc>
      </w:tr>
      <w:tr w:rsidR="008A3BDF" w:rsidRPr="007D3E91" w:rsidTr="005C1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rsidR="00C16C71" w:rsidRPr="007D3E91" w:rsidRDefault="00C16C71" w:rsidP="004123E9">
            <w:pPr>
              <w:rPr>
                <w:rFonts w:cs="Times New Roman"/>
                <w:sz w:val="24"/>
                <w:szCs w:val="24"/>
                <w:lang w:val="sr-Cyrl-RS"/>
              </w:rPr>
            </w:pPr>
            <w:r w:rsidRPr="007D3E91">
              <w:rPr>
                <w:rFonts w:cs="Times New Roman"/>
                <w:sz w:val="24"/>
                <w:szCs w:val="24"/>
                <w:lang w:val="sr-Cyrl-RS"/>
              </w:rPr>
              <w:t xml:space="preserve">Средња правна лица </w:t>
            </w:r>
          </w:p>
        </w:tc>
        <w:tc>
          <w:tcPr>
            <w:tcW w:w="915" w:type="pct"/>
          </w:tcPr>
          <w:p w:rsidR="000C6DF9" w:rsidRDefault="000C6DF9" w:rsidP="00945334">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val="sr-Cyrl-RS"/>
              </w:rPr>
            </w:pPr>
          </w:p>
          <w:p w:rsidR="00C16C71" w:rsidRPr="007D3E91" w:rsidRDefault="00D0580A" w:rsidP="00945334">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D3E91">
              <w:rPr>
                <w:rFonts w:cs="Times New Roman"/>
                <w:sz w:val="24"/>
                <w:szCs w:val="24"/>
                <w:lang w:val="sr-Cyrl-RS"/>
              </w:rPr>
              <w:t>5</w:t>
            </w:r>
            <w:r w:rsidRPr="007D3E91">
              <w:rPr>
                <w:rFonts w:cs="Times New Roman"/>
                <w:sz w:val="24"/>
                <w:szCs w:val="24"/>
              </w:rPr>
              <w:t>0</w:t>
            </w:r>
            <w:r w:rsidRPr="007D3E91">
              <w:rPr>
                <w:rFonts w:cs="Times New Roman"/>
                <w:sz w:val="24"/>
                <w:szCs w:val="24"/>
                <w:lang w:val="sr-Cyrl-RS"/>
              </w:rPr>
              <w:t xml:space="preserve"> </w:t>
            </w:r>
            <w:r w:rsidRPr="007D3E91">
              <w:rPr>
                <w:rFonts w:cs="Times New Roman"/>
                <w:sz w:val="24"/>
                <w:szCs w:val="24"/>
              </w:rPr>
              <w:t>˂</w:t>
            </w:r>
            <w:r w:rsidRPr="007D3E91">
              <w:rPr>
                <w:rFonts w:cs="Times New Roman"/>
                <w:sz w:val="24"/>
                <w:szCs w:val="24"/>
                <w:lang w:val="sr-Cyrl-RS"/>
              </w:rPr>
              <w:t xml:space="preserve"> Зп </w:t>
            </w:r>
            <w:r w:rsidR="00C16C71" w:rsidRPr="007D3E91">
              <w:rPr>
                <w:rFonts w:cs="Times New Roman"/>
                <w:sz w:val="24"/>
                <w:szCs w:val="24"/>
              </w:rPr>
              <w:t xml:space="preserve">˂ </w:t>
            </w:r>
            <w:r w:rsidR="00C16C71" w:rsidRPr="007D3E91">
              <w:rPr>
                <w:rFonts w:cs="Times New Roman"/>
                <w:sz w:val="24"/>
                <w:szCs w:val="24"/>
                <w:lang w:val="sr-Cyrl-RS"/>
              </w:rPr>
              <w:t>25</w:t>
            </w:r>
            <w:r w:rsidR="00C16C71" w:rsidRPr="007D3E91">
              <w:rPr>
                <w:rFonts w:cs="Times New Roman"/>
                <w:sz w:val="24"/>
                <w:szCs w:val="24"/>
              </w:rPr>
              <w:t>0</w:t>
            </w:r>
          </w:p>
        </w:tc>
        <w:tc>
          <w:tcPr>
            <w:tcW w:w="1487" w:type="pct"/>
          </w:tcPr>
          <w:p w:rsidR="00C16C71" w:rsidRPr="007D3E91" w:rsidRDefault="00C16C71" w:rsidP="00945334">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val="sr-Cyrl-RS"/>
              </w:rPr>
            </w:pPr>
          </w:p>
          <w:p w:rsidR="00C16C71" w:rsidRPr="007D3E91" w:rsidRDefault="00D0580A" w:rsidP="00945334">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D3E91">
              <w:rPr>
                <w:rFonts w:cs="Times New Roman"/>
                <w:sz w:val="24"/>
                <w:szCs w:val="24"/>
              </w:rPr>
              <w:t>8.800.000 ЕУР</w:t>
            </w:r>
            <w:r w:rsidRPr="007D3E91">
              <w:rPr>
                <w:rFonts w:cs="Times New Roman"/>
                <w:sz w:val="24"/>
                <w:szCs w:val="24"/>
                <w:lang w:val="sr-Cyrl-RS"/>
              </w:rPr>
              <w:t xml:space="preserve"> </w:t>
            </w:r>
            <w:r w:rsidRPr="007D3E91">
              <w:rPr>
                <w:rFonts w:cs="Times New Roman"/>
                <w:sz w:val="24"/>
                <w:szCs w:val="24"/>
              </w:rPr>
              <w:t>˂</w:t>
            </w:r>
            <w:r w:rsidRPr="007D3E91">
              <w:rPr>
                <w:rFonts w:cs="Times New Roman"/>
                <w:sz w:val="24"/>
                <w:szCs w:val="24"/>
                <w:lang w:val="sr-Cyrl-RS"/>
              </w:rPr>
              <w:t xml:space="preserve"> Пп </w:t>
            </w:r>
            <w:r w:rsidR="00C16C71" w:rsidRPr="007D3E91">
              <w:rPr>
                <w:rFonts w:cs="Times New Roman"/>
                <w:sz w:val="24"/>
                <w:szCs w:val="24"/>
                <w:lang w:val="sr-Cyrl-RS"/>
              </w:rPr>
              <w:t xml:space="preserve">˂ </w:t>
            </w:r>
            <w:r w:rsidR="00C16C71" w:rsidRPr="007D3E91">
              <w:rPr>
                <w:rFonts w:cs="Times New Roman"/>
                <w:sz w:val="24"/>
                <w:szCs w:val="24"/>
              </w:rPr>
              <w:t>35.000.000 ЕУР</w:t>
            </w:r>
          </w:p>
        </w:tc>
        <w:tc>
          <w:tcPr>
            <w:tcW w:w="1852" w:type="pct"/>
          </w:tcPr>
          <w:p w:rsidR="000C6DF9" w:rsidRDefault="000C6DF9" w:rsidP="00945334">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lang w:val="sr-Cyrl-RS"/>
              </w:rPr>
            </w:pPr>
          </w:p>
          <w:p w:rsidR="00C16C71" w:rsidRPr="007D3E91" w:rsidRDefault="00D0580A" w:rsidP="00945334">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7D3E91">
              <w:rPr>
                <w:rFonts w:cs="Times New Roman"/>
                <w:sz w:val="24"/>
                <w:szCs w:val="24"/>
              </w:rPr>
              <w:t>4.400.000</w:t>
            </w:r>
            <w:r w:rsidRPr="007D3E91">
              <w:rPr>
                <w:rFonts w:cs="Times New Roman"/>
                <w:sz w:val="24"/>
                <w:szCs w:val="24"/>
                <w:lang w:val="sr-Cyrl-RS"/>
              </w:rPr>
              <w:t xml:space="preserve"> </w:t>
            </w:r>
            <w:r w:rsidRPr="007D3E91">
              <w:rPr>
                <w:rFonts w:cs="Times New Roman"/>
                <w:sz w:val="24"/>
                <w:szCs w:val="24"/>
              </w:rPr>
              <w:t>ЕУР</w:t>
            </w:r>
            <w:r w:rsidRPr="007D3E91">
              <w:rPr>
                <w:rFonts w:cs="Times New Roman"/>
                <w:sz w:val="24"/>
                <w:szCs w:val="24"/>
                <w:lang w:val="sr-Cyrl-RS"/>
              </w:rPr>
              <w:t xml:space="preserve"> ˂ Пи </w:t>
            </w:r>
            <w:r w:rsidR="00C16C71" w:rsidRPr="007D3E91">
              <w:rPr>
                <w:rFonts w:cs="Times New Roman"/>
                <w:sz w:val="24"/>
                <w:szCs w:val="24"/>
                <w:lang w:val="sr-Cyrl-RS"/>
              </w:rPr>
              <w:t xml:space="preserve">˂ </w:t>
            </w:r>
            <w:r w:rsidR="00C16C71" w:rsidRPr="007D3E91">
              <w:rPr>
                <w:rFonts w:cs="Times New Roman"/>
                <w:sz w:val="24"/>
                <w:szCs w:val="24"/>
              </w:rPr>
              <w:t>17.500.000</w:t>
            </w:r>
            <w:r w:rsidR="00C16C71" w:rsidRPr="007D3E91">
              <w:t xml:space="preserve"> </w:t>
            </w:r>
            <w:r w:rsidR="00C16C71" w:rsidRPr="007D3E91">
              <w:rPr>
                <w:rFonts w:cs="Times New Roman"/>
                <w:sz w:val="24"/>
                <w:szCs w:val="24"/>
              </w:rPr>
              <w:t>ЕУР</w:t>
            </w:r>
          </w:p>
        </w:tc>
      </w:tr>
    </w:tbl>
    <w:p w:rsidR="001D7879" w:rsidRDefault="001D7879" w:rsidP="00EE08B0">
      <w:pPr>
        <w:spacing w:after="0"/>
        <w:ind w:firstLine="708"/>
        <w:jc w:val="both"/>
        <w:rPr>
          <w:sz w:val="24"/>
          <w:szCs w:val="24"/>
          <w:lang w:val="sr-Cyrl-RS"/>
        </w:rPr>
      </w:pPr>
    </w:p>
    <w:p w:rsidR="005208D4" w:rsidRDefault="00CD3219" w:rsidP="005208D4">
      <w:pPr>
        <w:spacing w:after="0"/>
        <w:ind w:firstLine="708"/>
        <w:jc w:val="both"/>
        <w:rPr>
          <w:sz w:val="24"/>
          <w:szCs w:val="24"/>
          <w:lang w:val="sr-Cyrl-RS"/>
        </w:rPr>
      </w:pPr>
      <w:r>
        <w:rPr>
          <w:sz w:val="24"/>
          <w:szCs w:val="24"/>
          <w:lang w:val="sr-Cyrl-RS"/>
        </w:rPr>
        <w:t xml:space="preserve">У земљама ЕУ </w:t>
      </w:r>
      <w:r w:rsidR="00681B76">
        <w:rPr>
          <w:sz w:val="24"/>
          <w:szCs w:val="24"/>
          <w:lang w:val="sr-Cyrl-RS"/>
        </w:rPr>
        <w:t>другачија</w:t>
      </w:r>
      <w:r w:rsidR="00805F26">
        <w:rPr>
          <w:sz w:val="24"/>
          <w:szCs w:val="24"/>
          <w:lang w:val="sr-Cyrl-RS"/>
        </w:rPr>
        <w:t xml:space="preserve"> </w:t>
      </w:r>
      <w:r>
        <w:rPr>
          <w:sz w:val="24"/>
          <w:szCs w:val="24"/>
          <w:lang w:val="sr-Cyrl-RS"/>
        </w:rPr>
        <w:t xml:space="preserve">је </w:t>
      </w:r>
      <w:r w:rsidR="00805F26">
        <w:rPr>
          <w:sz w:val="24"/>
          <w:szCs w:val="24"/>
          <w:lang w:val="sr-Cyrl-RS"/>
        </w:rPr>
        <w:t xml:space="preserve">дефиниција </w:t>
      </w:r>
      <w:r w:rsidR="00575828" w:rsidRPr="00575828">
        <w:rPr>
          <w:sz w:val="24"/>
          <w:szCs w:val="24"/>
          <w:lang w:val="sr-Cyrl-RS"/>
        </w:rPr>
        <w:t>М</w:t>
      </w:r>
      <w:r w:rsidR="00663E4C">
        <w:rPr>
          <w:sz w:val="24"/>
          <w:szCs w:val="24"/>
          <w:lang w:val="sr-Cyrl-RS"/>
        </w:rPr>
        <w:t>М</w:t>
      </w:r>
      <w:r w:rsidR="00575828" w:rsidRPr="00575828">
        <w:rPr>
          <w:sz w:val="24"/>
          <w:szCs w:val="24"/>
          <w:lang w:val="sr-Cyrl-RS"/>
        </w:rPr>
        <w:t>СП</w:t>
      </w:r>
      <w:r w:rsidR="00681B76">
        <w:rPr>
          <w:sz w:val="24"/>
          <w:szCs w:val="24"/>
          <w:lang w:val="sr-Cyrl-RS"/>
        </w:rPr>
        <w:t xml:space="preserve">. У микро предузећа се сврставају она правна лица која имају мање од 10 запослених, те мање од два милиона </w:t>
      </w:r>
      <w:r>
        <w:rPr>
          <w:sz w:val="24"/>
          <w:szCs w:val="24"/>
          <w:lang w:val="sr-Cyrl-RS"/>
        </w:rPr>
        <w:t xml:space="preserve">евра </w:t>
      </w:r>
      <w:r w:rsidR="00681B76">
        <w:rPr>
          <w:sz w:val="24"/>
          <w:szCs w:val="24"/>
          <w:lang w:val="sr-Cyrl-RS"/>
        </w:rPr>
        <w:t>годишњег промета и/или укупног</w:t>
      </w:r>
      <w:r>
        <w:rPr>
          <w:sz w:val="24"/>
          <w:szCs w:val="24"/>
          <w:lang w:val="sr-Cyrl-RS"/>
        </w:rPr>
        <w:t xml:space="preserve"> биланса стања који је мањи од два</w:t>
      </w:r>
      <w:r w:rsidR="00681B76">
        <w:rPr>
          <w:sz w:val="24"/>
          <w:szCs w:val="24"/>
          <w:lang w:val="sr-Cyrl-RS"/>
        </w:rPr>
        <w:t xml:space="preserve"> милиона евра. Мала правна лица су она која имају мање од 50 запослених, годишњег промета мање</w:t>
      </w:r>
      <w:r w:rsidR="00541BC9">
        <w:rPr>
          <w:sz w:val="24"/>
          <w:szCs w:val="24"/>
          <w:lang w:val="sr-Cyrl-RS"/>
        </w:rPr>
        <w:t>г</w:t>
      </w:r>
      <w:r w:rsidR="00681B76">
        <w:rPr>
          <w:sz w:val="24"/>
          <w:szCs w:val="24"/>
          <w:lang w:val="sr-Cyrl-RS"/>
        </w:rPr>
        <w:t xml:space="preserve"> од 10 милиона евра и /или укупан биланс стања мањи од 10 милиона евра. Средња правна лица имају мање од 250 запослених, мање од 50 милиона евра промета и/или </w:t>
      </w:r>
      <w:r>
        <w:rPr>
          <w:sz w:val="24"/>
          <w:szCs w:val="24"/>
          <w:lang w:val="sr-Cyrl-RS"/>
        </w:rPr>
        <w:t xml:space="preserve">укупног биланса стања </w:t>
      </w:r>
      <w:r w:rsidR="00681B76">
        <w:rPr>
          <w:sz w:val="24"/>
          <w:szCs w:val="24"/>
          <w:lang w:val="sr-Cyrl-RS"/>
        </w:rPr>
        <w:t>мање</w:t>
      </w:r>
      <w:r>
        <w:rPr>
          <w:sz w:val="24"/>
          <w:szCs w:val="24"/>
          <w:lang w:val="sr-Cyrl-RS"/>
        </w:rPr>
        <w:t>г</w:t>
      </w:r>
      <w:r w:rsidR="00681B76">
        <w:rPr>
          <w:sz w:val="24"/>
          <w:szCs w:val="24"/>
          <w:lang w:val="sr-Cyrl-RS"/>
        </w:rPr>
        <w:t xml:space="preserve"> од 43 милиона евра.</w:t>
      </w:r>
    </w:p>
    <w:p w:rsidR="005208D4" w:rsidRDefault="005208D4" w:rsidP="005208D4">
      <w:pPr>
        <w:spacing w:after="0"/>
        <w:ind w:firstLine="708"/>
        <w:jc w:val="both"/>
        <w:rPr>
          <w:sz w:val="24"/>
          <w:szCs w:val="24"/>
          <w:lang w:val="sr-Cyrl-RS"/>
        </w:rPr>
      </w:pPr>
    </w:p>
    <w:tbl>
      <w:tblPr>
        <w:tblStyle w:val="MediumGrid1-Accent2"/>
        <w:tblW w:w="9288" w:type="dxa"/>
        <w:tblLook w:val="04A0" w:firstRow="1" w:lastRow="0" w:firstColumn="1" w:lastColumn="0" w:noHBand="0" w:noVBand="1"/>
      </w:tblPr>
      <w:tblGrid>
        <w:gridCol w:w="2093"/>
        <w:gridCol w:w="2268"/>
        <w:gridCol w:w="1417"/>
        <w:gridCol w:w="1134"/>
        <w:gridCol w:w="2376"/>
      </w:tblGrid>
      <w:tr w:rsidR="00810B1F" w:rsidRPr="00810B1F" w:rsidTr="00810B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shd w:val="clear" w:color="auto" w:fill="C0504D" w:themeFill="accent2"/>
          </w:tcPr>
          <w:p w:rsidR="00810B1F" w:rsidRPr="00810B1F" w:rsidRDefault="00810B1F" w:rsidP="0006291C">
            <w:pPr>
              <w:rPr>
                <w:rFonts w:cs="Times New Roman"/>
                <w:sz w:val="24"/>
                <w:szCs w:val="24"/>
                <w:lang w:val="sr-Cyrl-RS"/>
              </w:rPr>
            </w:pPr>
            <w:r w:rsidRPr="00810B1F">
              <w:rPr>
                <w:rFonts w:cs="Times New Roman"/>
                <w:sz w:val="24"/>
                <w:szCs w:val="24"/>
                <w:lang w:val="sr-Cyrl-RS"/>
              </w:rPr>
              <w:t>Правна лица</w:t>
            </w:r>
          </w:p>
        </w:tc>
        <w:tc>
          <w:tcPr>
            <w:tcW w:w="2268" w:type="dxa"/>
            <w:shd w:val="clear" w:color="auto" w:fill="C0504D" w:themeFill="accent2"/>
          </w:tcPr>
          <w:p w:rsidR="00810B1F" w:rsidRPr="00810B1F" w:rsidRDefault="00810B1F" w:rsidP="00810B1F">
            <w:pPr>
              <w:cnfStyle w:val="100000000000" w:firstRow="1" w:lastRow="0" w:firstColumn="0" w:lastColumn="0" w:oddVBand="0" w:evenVBand="0" w:oddHBand="0" w:evenHBand="0" w:firstRowFirstColumn="0" w:firstRowLastColumn="0" w:lastRowFirstColumn="0" w:lastRowLastColumn="0"/>
              <w:rPr>
                <w:sz w:val="24"/>
                <w:szCs w:val="24"/>
              </w:rPr>
            </w:pPr>
            <w:r w:rsidRPr="00810B1F">
              <w:rPr>
                <w:rFonts w:cs="Times New Roman"/>
                <w:sz w:val="24"/>
                <w:szCs w:val="24"/>
                <w:lang w:val="sr-Cyrl-RS"/>
              </w:rPr>
              <w:t>Број запослених</w:t>
            </w:r>
          </w:p>
        </w:tc>
        <w:tc>
          <w:tcPr>
            <w:tcW w:w="1417" w:type="dxa"/>
            <w:shd w:val="clear" w:color="auto" w:fill="C0504D" w:themeFill="accent2"/>
          </w:tcPr>
          <w:p w:rsidR="00810B1F" w:rsidRPr="00810B1F" w:rsidRDefault="00810B1F" w:rsidP="00681B76">
            <w:pPr>
              <w:jc w:val="center"/>
              <w:cnfStyle w:val="100000000000" w:firstRow="1" w:lastRow="0" w:firstColumn="0" w:lastColumn="0" w:oddVBand="0" w:evenVBand="0" w:oddHBand="0" w:evenHBand="0" w:firstRowFirstColumn="0" w:firstRowLastColumn="0" w:lastRowFirstColumn="0" w:lastRowLastColumn="0"/>
              <w:rPr>
                <w:sz w:val="24"/>
                <w:szCs w:val="24"/>
              </w:rPr>
            </w:pPr>
            <w:r w:rsidRPr="00810B1F">
              <w:rPr>
                <w:rFonts w:cs="Times New Roman"/>
                <w:sz w:val="24"/>
                <w:szCs w:val="24"/>
                <w:lang w:val="sr-Cyrl-RS"/>
              </w:rPr>
              <w:t>П</w:t>
            </w:r>
            <w:r w:rsidRPr="00810B1F">
              <w:rPr>
                <w:rFonts w:cs="Times New Roman"/>
                <w:sz w:val="24"/>
                <w:szCs w:val="24"/>
              </w:rPr>
              <w:t>ословни приход</w:t>
            </w:r>
          </w:p>
        </w:tc>
        <w:tc>
          <w:tcPr>
            <w:tcW w:w="1134" w:type="dxa"/>
            <w:shd w:val="clear" w:color="auto" w:fill="C0504D" w:themeFill="accent2"/>
          </w:tcPr>
          <w:p w:rsidR="00810B1F" w:rsidRPr="00810B1F" w:rsidRDefault="00810B1F" w:rsidP="00681B76">
            <w:pPr>
              <w:jc w:val="center"/>
              <w:cnfStyle w:val="100000000000" w:firstRow="1" w:lastRow="0" w:firstColumn="0" w:lastColumn="0" w:oddVBand="0" w:evenVBand="0" w:oddHBand="0" w:evenHBand="0" w:firstRowFirstColumn="0" w:firstRowLastColumn="0" w:lastRowFirstColumn="0" w:lastRowLastColumn="0"/>
              <w:rPr>
                <w:sz w:val="24"/>
                <w:szCs w:val="24"/>
                <w:lang w:val="sr-Cyrl-RS"/>
              </w:rPr>
            </w:pPr>
            <w:r w:rsidRPr="00810B1F">
              <w:rPr>
                <w:sz w:val="24"/>
                <w:szCs w:val="24"/>
                <w:lang w:val="sr-Cyrl-RS"/>
              </w:rPr>
              <w:t>или</w:t>
            </w:r>
          </w:p>
        </w:tc>
        <w:tc>
          <w:tcPr>
            <w:tcW w:w="2376" w:type="dxa"/>
            <w:shd w:val="clear" w:color="auto" w:fill="C0504D" w:themeFill="accent2"/>
          </w:tcPr>
          <w:p w:rsidR="00810B1F" w:rsidRPr="00810B1F" w:rsidRDefault="00810B1F" w:rsidP="00681B76">
            <w:pPr>
              <w:jc w:val="center"/>
              <w:cnfStyle w:val="100000000000" w:firstRow="1" w:lastRow="0" w:firstColumn="0" w:lastColumn="0" w:oddVBand="0" w:evenVBand="0" w:oddHBand="0" w:evenHBand="0" w:firstRowFirstColumn="0" w:firstRowLastColumn="0" w:lastRowFirstColumn="0" w:lastRowLastColumn="0"/>
              <w:rPr>
                <w:sz w:val="24"/>
                <w:szCs w:val="24"/>
                <w:lang w:val="sr-Cyrl-RS"/>
              </w:rPr>
            </w:pPr>
            <w:r w:rsidRPr="00810B1F">
              <w:rPr>
                <w:sz w:val="24"/>
                <w:szCs w:val="24"/>
                <w:lang w:val="sr-Cyrl-RS"/>
              </w:rPr>
              <w:t>Укупна вредност имовине</w:t>
            </w:r>
          </w:p>
        </w:tc>
      </w:tr>
      <w:tr w:rsidR="00810B1F" w:rsidRPr="00810B1F" w:rsidTr="00810B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Borders>
              <w:bottom w:val="single" w:sz="8" w:space="0" w:color="CF7B79" w:themeColor="accent2" w:themeTint="BF"/>
            </w:tcBorders>
          </w:tcPr>
          <w:p w:rsidR="00810B1F" w:rsidRPr="00810B1F" w:rsidRDefault="00810B1F" w:rsidP="0006291C">
            <w:pPr>
              <w:rPr>
                <w:rFonts w:cs="Times New Roman"/>
                <w:sz w:val="24"/>
                <w:szCs w:val="24"/>
                <w:lang w:val="sr-Cyrl-RS"/>
              </w:rPr>
            </w:pPr>
            <w:r w:rsidRPr="00810B1F">
              <w:rPr>
                <w:rFonts w:cs="Times New Roman"/>
                <w:sz w:val="24"/>
                <w:szCs w:val="24"/>
                <w:lang w:val="sr-Cyrl-RS"/>
              </w:rPr>
              <w:t>Микро правна лица</w:t>
            </w:r>
          </w:p>
        </w:tc>
        <w:tc>
          <w:tcPr>
            <w:tcW w:w="2268" w:type="dxa"/>
            <w:tcBorders>
              <w:bottom w:val="single" w:sz="8" w:space="0" w:color="CF7B79" w:themeColor="accent2" w:themeTint="BF"/>
            </w:tcBorders>
          </w:tcPr>
          <w:p w:rsidR="00810B1F" w:rsidRPr="00810B1F" w:rsidRDefault="00810B1F" w:rsidP="00681B76">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810B1F">
              <w:rPr>
                <w:sz w:val="24"/>
                <w:szCs w:val="24"/>
                <w:lang w:val="sr-Cyrl-RS"/>
              </w:rPr>
              <w:t>&lt;10</w:t>
            </w:r>
          </w:p>
        </w:tc>
        <w:tc>
          <w:tcPr>
            <w:tcW w:w="2551" w:type="dxa"/>
            <w:gridSpan w:val="2"/>
            <w:tcBorders>
              <w:bottom w:val="single" w:sz="8" w:space="0" w:color="CF7B79" w:themeColor="accent2" w:themeTint="BF"/>
            </w:tcBorders>
          </w:tcPr>
          <w:p w:rsidR="00810B1F" w:rsidRPr="00810B1F" w:rsidRDefault="00810B1F" w:rsidP="00681B76">
            <w:pPr>
              <w:jc w:val="center"/>
              <w:cnfStyle w:val="100000000000" w:firstRow="1" w:lastRow="0" w:firstColumn="0" w:lastColumn="0" w:oddVBand="0" w:evenVBand="0" w:oddHBand="0" w:evenHBand="0" w:firstRowFirstColumn="0" w:firstRowLastColumn="0" w:lastRowFirstColumn="0" w:lastRowLastColumn="0"/>
              <w:rPr>
                <w:sz w:val="24"/>
                <w:szCs w:val="24"/>
              </w:rPr>
            </w:pPr>
            <w:r w:rsidRPr="00810B1F">
              <w:rPr>
                <w:sz w:val="24"/>
                <w:szCs w:val="24"/>
                <w:lang w:val="sr-Cyrl-RS"/>
              </w:rPr>
              <w:t>&lt; € 2 million</w:t>
            </w:r>
          </w:p>
        </w:tc>
        <w:tc>
          <w:tcPr>
            <w:tcW w:w="2376" w:type="dxa"/>
            <w:tcBorders>
              <w:bottom w:val="single" w:sz="8" w:space="0" w:color="CF7B79" w:themeColor="accent2" w:themeTint="BF"/>
            </w:tcBorders>
          </w:tcPr>
          <w:p w:rsidR="00810B1F" w:rsidRPr="00810B1F" w:rsidRDefault="00810B1F" w:rsidP="00681B76">
            <w:pPr>
              <w:jc w:val="center"/>
              <w:cnfStyle w:val="100000000000" w:firstRow="1" w:lastRow="0" w:firstColumn="0" w:lastColumn="0" w:oddVBand="0" w:evenVBand="0" w:oddHBand="0" w:evenHBand="0" w:firstRowFirstColumn="0" w:firstRowLastColumn="0" w:lastRowFirstColumn="0" w:lastRowLastColumn="0"/>
              <w:rPr>
                <w:sz w:val="24"/>
                <w:szCs w:val="24"/>
              </w:rPr>
            </w:pPr>
            <w:r w:rsidRPr="00810B1F">
              <w:rPr>
                <w:sz w:val="24"/>
                <w:szCs w:val="24"/>
                <w:lang w:val="sr-Cyrl-RS"/>
              </w:rPr>
              <w:t>&lt; €2 million</w:t>
            </w:r>
          </w:p>
        </w:tc>
      </w:tr>
      <w:tr w:rsidR="00810B1F" w:rsidRPr="00810B1F" w:rsidTr="00810B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shd w:val="clear" w:color="auto" w:fill="FABF8F" w:themeFill="accent6" w:themeFillTint="99"/>
          </w:tcPr>
          <w:p w:rsidR="00810B1F" w:rsidRPr="00810B1F" w:rsidRDefault="00810B1F" w:rsidP="0006291C">
            <w:pPr>
              <w:rPr>
                <w:rFonts w:cs="Times New Roman"/>
                <w:sz w:val="24"/>
                <w:szCs w:val="24"/>
                <w:lang w:val="sr-Cyrl-RS"/>
              </w:rPr>
            </w:pPr>
            <w:r w:rsidRPr="00810B1F">
              <w:rPr>
                <w:rFonts w:cs="Times New Roman"/>
                <w:sz w:val="24"/>
                <w:szCs w:val="24"/>
                <w:lang w:val="sr-Cyrl-RS"/>
              </w:rPr>
              <w:t>Мала правна лица</w:t>
            </w:r>
          </w:p>
        </w:tc>
        <w:tc>
          <w:tcPr>
            <w:tcW w:w="2268" w:type="dxa"/>
            <w:shd w:val="clear" w:color="auto" w:fill="FABF8F" w:themeFill="accent6" w:themeFillTint="99"/>
          </w:tcPr>
          <w:p w:rsidR="00810B1F" w:rsidRPr="00810B1F" w:rsidRDefault="00810B1F" w:rsidP="00681B76">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810B1F">
              <w:rPr>
                <w:sz w:val="24"/>
                <w:szCs w:val="24"/>
                <w:lang w:val="sr-Cyrl-RS"/>
              </w:rPr>
              <w:t>&lt;50</w:t>
            </w:r>
          </w:p>
        </w:tc>
        <w:tc>
          <w:tcPr>
            <w:tcW w:w="2551" w:type="dxa"/>
            <w:gridSpan w:val="2"/>
            <w:shd w:val="clear" w:color="auto" w:fill="FABF8F" w:themeFill="accent6" w:themeFillTint="99"/>
          </w:tcPr>
          <w:p w:rsidR="00810B1F" w:rsidRPr="00810B1F" w:rsidRDefault="00810B1F" w:rsidP="00681B76">
            <w:pPr>
              <w:jc w:val="center"/>
              <w:cnfStyle w:val="100000000000" w:firstRow="1" w:lastRow="0" w:firstColumn="0" w:lastColumn="0" w:oddVBand="0" w:evenVBand="0" w:oddHBand="0" w:evenHBand="0" w:firstRowFirstColumn="0" w:firstRowLastColumn="0" w:lastRowFirstColumn="0" w:lastRowLastColumn="0"/>
              <w:rPr>
                <w:sz w:val="24"/>
                <w:szCs w:val="24"/>
              </w:rPr>
            </w:pPr>
            <w:r w:rsidRPr="00810B1F">
              <w:rPr>
                <w:sz w:val="24"/>
                <w:szCs w:val="24"/>
                <w:lang w:val="sr-Cyrl-RS"/>
              </w:rPr>
              <w:t>&lt; €10 million</w:t>
            </w:r>
          </w:p>
        </w:tc>
        <w:tc>
          <w:tcPr>
            <w:tcW w:w="2376" w:type="dxa"/>
            <w:shd w:val="clear" w:color="auto" w:fill="FABF8F" w:themeFill="accent6" w:themeFillTint="99"/>
          </w:tcPr>
          <w:p w:rsidR="00810B1F" w:rsidRPr="00810B1F" w:rsidRDefault="00810B1F" w:rsidP="00681B76">
            <w:pPr>
              <w:jc w:val="center"/>
              <w:cnfStyle w:val="100000000000" w:firstRow="1" w:lastRow="0" w:firstColumn="0" w:lastColumn="0" w:oddVBand="0" w:evenVBand="0" w:oddHBand="0" w:evenHBand="0" w:firstRowFirstColumn="0" w:firstRowLastColumn="0" w:lastRowFirstColumn="0" w:lastRowLastColumn="0"/>
              <w:rPr>
                <w:sz w:val="24"/>
                <w:szCs w:val="24"/>
              </w:rPr>
            </w:pPr>
            <w:r w:rsidRPr="00810B1F">
              <w:rPr>
                <w:sz w:val="24"/>
                <w:szCs w:val="24"/>
                <w:lang w:val="sr-Cyrl-RS"/>
              </w:rPr>
              <w:t>&lt; €10 million</w:t>
            </w:r>
          </w:p>
        </w:tc>
      </w:tr>
      <w:tr w:rsidR="00810B1F" w:rsidRPr="00810B1F" w:rsidTr="00810B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93" w:type="dxa"/>
          </w:tcPr>
          <w:p w:rsidR="00810B1F" w:rsidRPr="00810B1F" w:rsidRDefault="00810B1F" w:rsidP="0006291C">
            <w:pPr>
              <w:rPr>
                <w:rFonts w:cs="Times New Roman"/>
                <w:sz w:val="24"/>
                <w:szCs w:val="24"/>
                <w:lang w:val="sr-Cyrl-RS"/>
              </w:rPr>
            </w:pPr>
            <w:r w:rsidRPr="00810B1F">
              <w:rPr>
                <w:rFonts w:cs="Times New Roman"/>
                <w:sz w:val="24"/>
                <w:szCs w:val="24"/>
                <w:lang w:val="sr-Cyrl-RS"/>
              </w:rPr>
              <w:t xml:space="preserve">Средња правна лица </w:t>
            </w:r>
          </w:p>
        </w:tc>
        <w:tc>
          <w:tcPr>
            <w:tcW w:w="2268" w:type="dxa"/>
          </w:tcPr>
          <w:p w:rsidR="00810B1F" w:rsidRPr="00810B1F" w:rsidRDefault="00810B1F" w:rsidP="00681B76">
            <w:pPr>
              <w:jc w:val="center"/>
              <w:cnfStyle w:val="100000000000" w:firstRow="1" w:lastRow="0" w:firstColumn="0" w:lastColumn="0" w:oddVBand="0" w:evenVBand="0" w:oddHBand="0" w:evenHBand="0" w:firstRowFirstColumn="0" w:firstRowLastColumn="0" w:lastRowFirstColumn="0" w:lastRowLastColumn="0"/>
              <w:rPr>
                <w:rFonts w:cs="Times New Roman"/>
                <w:sz w:val="24"/>
                <w:szCs w:val="24"/>
              </w:rPr>
            </w:pPr>
            <w:r w:rsidRPr="00810B1F">
              <w:rPr>
                <w:sz w:val="24"/>
                <w:szCs w:val="24"/>
                <w:lang w:val="sr-Cyrl-RS"/>
              </w:rPr>
              <w:t>&lt;250</w:t>
            </w:r>
          </w:p>
        </w:tc>
        <w:tc>
          <w:tcPr>
            <w:tcW w:w="2551" w:type="dxa"/>
            <w:gridSpan w:val="2"/>
          </w:tcPr>
          <w:p w:rsidR="00810B1F" w:rsidRPr="00810B1F" w:rsidRDefault="00810B1F" w:rsidP="00681B76">
            <w:pPr>
              <w:jc w:val="center"/>
              <w:cnfStyle w:val="100000000000" w:firstRow="1" w:lastRow="0" w:firstColumn="0" w:lastColumn="0" w:oddVBand="0" w:evenVBand="0" w:oddHBand="0" w:evenHBand="0" w:firstRowFirstColumn="0" w:firstRowLastColumn="0" w:lastRowFirstColumn="0" w:lastRowLastColumn="0"/>
              <w:rPr>
                <w:sz w:val="24"/>
                <w:szCs w:val="24"/>
              </w:rPr>
            </w:pPr>
            <w:r w:rsidRPr="00810B1F">
              <w:rPr>
                <w:sz w:val="24"/>
                <w:szCs w:val="24"/>
                <w:lang w:val="sr-Cyrl-RS"/>
              </w:rPr>
              <w:t>&lt; €50 million</w:t>
            </w:r>
          </w:p>
        </w:tc>
        <w:tc>
          <w:tcPr>
            <w:tcW w:w="2376" w:type="dxa"/>
          </w:tcPr>
          <w:p w:rsidR="00810B1F" w:rsidRPr="00810B1F" w:rsidRDefault="00810B1F" w:rsidP="00681B76">
            <w:pPr>
              <w:jc w:val="center"/>
              <w:cnfStyle w:val="100000000000" w:firstRow="1" w:lastRow="0" w:firstColumn="0" w:lastColumn="0" w:oddVBand="0" w:evenVBand="0" w:oddHBand="0" w:evenHBand="0" w:firstRowFirstColumn="0" w:firstRowLastColumn="0" w:lastRowFirstColumn="0" w:lastRowLastColumn="0"/>
              <w:rPr>
                <w:sz w:val="24"/>
                <w:szCs w:val="24"/>
              </w:rPr>
            </w:pPr>
            <w:r w:rsidRPr="00810B1F">
              <w:rPr>
                <w:sz w:val="24"/>
                <w:szCs w:val="24"/>
                <w:lang w:val="sr-Cyrl-RS"/>
              </w:rPr>
              <w:t>&lt; €43</w:t>
            </w:r>
            <w:r w:rsidRPr="00810B1F">
              <w:rPr>
                <w:sz w:val="24"/>
                <w:szCs w:val="24"/>
              </w:rPr>
              <w:t xml:space="preserve"> </w:t>
            </w:r>
            <w:r w:rsidRPr="00810B1F">
              <w:rPr>
                <w:sz w:val="24"/>
                <w:szCs w:val="24"/>
                <w:lang w:val="sr-Cyrl-RS"/>
              </w:rPr>
              <w:t>million</w:t>
            </w:r>
            <w:r w:rsidRPr="00810B1F">
              <w:rPr>
                <w:rStyle w:val="FootnoteReference"/>
                <w:sz w:val="24"/>
                <w:szCs w:val="24"/>
              </w:rPr>
              <w:footnoteReference w:id="3"/>
            </w:r>
          </w:p>
        </w:tc>
      </w:tr>
    </w:tbl>
    <w:p w:rsidR="001D7879" w:rsidRPr="0004160C" w:rsidRDefault="001D7879" w:rsidP="0004160C">
      <w:pPr>
        <w:spacing w:after="0"/>
        <w:jc w:val="both"/>
        <w:rPr>
          <w:sz w:val="24"/>
          <w:szCs w:val="24"/>
        </w:rPr>
      </w:pPr>
    </w:p>
    <w:p w:rsidR="00805F26" w:rsidRDefault="00805F26" w:rsidP="00EE08B0">
      <w:pPr>
        <w:spacing w:after="0"/>
        <w:ind w:firstLine="708"/>
        <w:jc w:val="both"/>
        <w:rPr>
          <w:sz w:val="24"/>
          <w:szCs w:val="24"/>
          <w:lang w:val="sr-Cyrl-RS"/>
        </w:rPr>
      </w:pPr>
      <w:r>
        <w:rPr>
          <w:sz w:val="24"/>
          <w:szCs w:val="24"/>
          <w:lang w:val="sr-Cyrl-RS"/>
        </w:rPr>
        <w:t xml:space="preserve">Имајући у виду важност пословања </w:t>
      </w:r>
      <w:r w:rsidR="00575828" w:rsidRPr="00575828">
        <w:rPr>
          <w:sz w:val="24"/>
          <w:szCs w:val="24"/>
          <w:lang w:val="sr-Cyrl-RS"/>
        </w:rPr>
        <w:t>М</w:t>
      </w:r>
      <w:r w:rsidR="00663E4C">
        <w:rPr>
          <w:sz w:val="24"/>
          <w:szCs w:val="24"/>
          <w:lang w:val="sr-Cyrl-RS"/>
        </w:rPr>
        <w:t>МС</w:t>
      </w:r>
      <w:r w:rsidR="00575828" w:rsidRPr="00575828">
        <w:rPr>
          <w:sz w:val="24"/>
          <w:szCs w:val="24"/>
          <w:lang w:val="sr-Cyrl-RS"/>
        </w:rPr>
        <w:t>П</w:t>
      </w:r>
      <w:r>
        <w:rPr>
          <w:sz w:val="24"/>
          <w:szCs w:val="24"/>
          <w:lang w:val="sr-Cyrl-RS"/>
        </w:rPr>
        <w:t xml:space="preserve"> Европска комисија је</w:t>
      </w:r>
      <w:r>
        <w:rPr>
          <w:sz w:val="24"/>
          <w:szCs w:val="24"/>
        </w:rPr>
        <w:t xml:space="preserve"> </w:t>
      </w:r>
      <w:r>
        <w:rPr>
          <w:sz w:val="24"/>
          <w:szCs w:val="24"/>
          <w:lang w:val="sr-Cyrl-RS"/>
        </w:rPr>
        <w:t xml:space="preserve">још 2008. године  донела </w:t>
      </w:r>
      <w:r w:rsidR="00663E4C">
        <w:rPr>
          <w:sz w:val="24"/>
          <w:szCs w:val="24"/>
          <w:lang w:val="sr-Cyrl-RS"/>
        </w:rPr>
        <w:t>„</w:t>
      </w:r>
      <w:r>
        <w:rPr>
          <w:sz w:val="24"/>
          <w:szCs w:val="24"/>
          <w:lang w:val="sr-Cyrl-RS"/>
        </w:rPr>
        <w:t>Акт о малим предузећима</w:t>
      </w:r>
      <w:r w:rsidR="00663E4C">
        <w:rPr>
          <w:sz w:val="24"/>
          <w:szCs w:val="24"/>
          <w:lang w:val="sr-Cyrl-RS"/>
        </w:rPr>
        <w:t>“</w:t>
      </w:r>
      <w:r>
        <w:rPr>
          <w:sz w:val="24"/>
          <w:szCs w:val="24"/>
          <w:lang w:val="sr-Cyrl-RS"/>
        </w:rPr>
        <w:t xml:space="preserve"> („</w:t>
      </w:r>
      <w:r>
        <w:rPr>
          <w:sz w:val="24"/>
          <w:szCs w:val="24"/>
        </w:rPr>
        <w:t>Small Business Act</w:t>
      </w:r>
      <w:r>
        <w:rPr>
          <w:rStyle w:val="FootnoteReference"/>
          <w:sz w:val="24"/>
          <w:szCs w:val="24"/>
        </w:rPr>
        <w:footnoteReference w:id="4"/>
      </w:r>
      <w:r>
        <w:rPr>
          <w:sz w:val="24"/>
          <w:szCs w:val="24"/>
        </w:rPr>
        <w:t>)</w:t>
      </w:r>
      <w:r w:rsidR="00E52002">
        <w:rPr>
          <w:sz w:val="24"/>
          <w:szCs w:val="24"/>
          <w:lang w:val="sr-Cyrl-RS"/>
        </w:rPr>
        <w:t xml:space="preserve"> којим је предвиђен сет мер</w:t>
      </w:r>
      <w:r w:rsidR="00BE7F78">
        <w:rPr>
          <w:sz w:val="24"/>
          <w:szCs w:val="24"/>
          <w:lang w:val="sr-Cyrl-RS"/>
        </w:rPr>
        <w:t>а (принципа) које могу помоћи М</w:t>
      </w:r>
      <w:r w:rsidR="00663E4C">
        <w:rPr>
          <w:sz w:val="24"/>
          <w:szCs w:val="24"/>
          <w:lang w:val="sr-Cyrl-RS"/>
        </w:rPr>
        <w:t>М</w:t>
      </w:r>
      <w:r w:rsidR="00E52002">
        <w:rPr>
          <w:sz w:val="24"/>
          <w:szCs w:val="24"/>
          <w:lang w:val="sr-Cyrl-RS"/>
        </w:rPr>
        <w:t>СП у превазилажењу потенцијалних препрека у пословању. У питању су следећи принципи:</w:t>
      </w:r>
    </w:p>
    <w:p w:rsidR="00E52002" w:rsidRDefault="00E52002" w:rsidP="00EE08B0">
      <w:pPr>
        <w:spacing w:after="0"/>
        <w:ind w:firstLine="708"/>
        <w:jc w:val="both"/>
        <w:rPr>
          <w:sz w:val="24"/>
          <w:szCs w:val="24"/>
          <w:lang w:val="sr-Cyrl-RS"/>
        </w:rPr>
      </w:pPr>
      <w:r>
        <w:rPr>
          <w:sz w:val="24"/>
          <w:szCs w:val="24"/>
          <w:lang w:val="sr-Cyrl-RS"/>
        </w:rPr>
        <w:t xml:space="preserve">1. </w:t>
      </w:r>
      <w:r w:rsidR="00663E4C">
        <w:rPr>
          <w:sz w:val="24"/>
          <w:szCs w:val="24"/>
          <w:lang w:val="sr-Cyrl-RS"/>
        </w:rPr>
        <w:t>Стварање окружења</w:t>
      </w:r>
      <w:r w:rsidRPr="00E52002">
        <w:rPr>
          <w:sz w:val="24"/>
          <w:szCs w:val="24"/>
          <w:lang w:val="sr-Cyrl-RS"/>
        </w:rPr>
        <w:t xml:space="preserve"> у којем предузетници и породичне фирме могу да се развијају, а предузетништво може да се награђује</w:t>
      </w:r>
      <w:r>
        <w:rPr>
          <w:sz w:val="24"/>
          <w:szCs w:val="24"/>
          <w:lang w:val="sr-Cyrl-RS"/>
        </w:rPr>
        <w:t>;</w:t>
      </w:r>
    </w:p>
    <w:p w:rsidR="00E52002" w:rsidRDefault="00E52002" w:rsidP="00EE08B0">
      <w:pPr>
        <w:spacing w:after="0"/>
        <w:ind w:firstLine="708"/>
        <w:jc w:val="both"/>
        <w:rPr>
          <w:sz w:val="24"/>
          <w:szCs w:val="24"/>
          <w:lang w:val="sr-Cyrl-RS"/>
        </w:rPr>
      </w:pPr>
      <w:r>
        <w:rPr>
          <w:sz w:val="24"/>
          <w:szCs w:val="24"/>
          <w:lang w:val="sr-Cyrl-RS"/>
        </w:rPr>
        <w:t xml:space="preserve">2. </w:t>
      </w:r>
      <w:r w:rsidR="00663E4C">
        <w:rPr>
          <w:sz w:val="24"/>
          <w:szCs w:val="24"/>
          <w:lang w:val="sr-Cyrl-RS"/>
        </w:rPr>
        <w:t>Обезбеђивање</w:t>
      </w:r>
      <w:r w:rsidRPr="00E52002">
        <w:rPr>
          <w:sz w:val="24"/>
          <w:szCs w:val="24"/>
          <w:lang w:val="sr-Cyrl-RS"/>
        </w:rPr>
        <w:t xml:space="preserve"> поштени</w:t>
      </w:r>
      <w:r w:rsidR="00663E4C">
        <w:rPr>
          <w:sz w:val="24"/>
          <w:szCs w:val="24"/>
          <w:lang w:val="sr-Cyrl-RS"/>
        </w:rPr>
        <w:t>м</w:t>
      </w:r>
      <w:r w:rsidR="00093A43">
        <w:rPr>
          <w:sz w:val="24"/>
          <w:szCs w:val="24"/>
          <w:lang w:val="sr-Cyrl-RS"/>
        </w:rPr>
        <w:t xml:space="preserve"> привредним субјектима</w:t>
      </w:r>
      <w:r w:rsidRPr="00E52002">
        <w:rPr>
          <w:sz w:val="24"/>
          <w:szCs w:val="24"/>
          <w:lang w:val="sr-Cyrl-RS"/>
        </w:rPr>
        <w:t xml:space="preserve"> који су се суочили са стечајем </w:t>
      </w:r>
      <w:r w:rsidR="00663E4C">
        <w:rPr>
          <w:sz w:val="24"/>
          <w:szCs w:val="24"/>
          <w:lang w:val="sr-Cyrl-RS"/>
        </w:rPr>
        <w:t xml:space="preserve">да </w:t>
      </w:r>
      <w:r w:rsidRPr="00E52002">
        <w:rPr>
          <w:sz w:val="24"/>
          <w:szCs w:val="24"/>
          <w:lang w:val="sr-Cyrl-RS"/>
        </w:rPr>
        <w:t>брзо добију другу шансу</w:t>
      </w:r>
      <w:r>
        <w:rPr>
          <w:sz w:val="24"/>
          <w:szCs w:val="24"/>
          <w:lang w:val="sr-Cyrl-RS"/>
        </w:rPr>
        <w:t>;</w:t>
      </w:r>
    </w:p>
    <w:p w:rsidR="00E52002" w:rsidRDefault="00E52002" w:rsidP="00EE08B0">
      <w:pPr>
        <w:spacing w:after="0"/>
        <w:ind w:firstLine="708"/>
        <w:jc w:val="both"/>
        <w:rPr>
          <w:sz w:val="24"/>
          <w:szCs w:val="24"/>
          <w:lang w:val="sr-Cyrl-RS"/>
        </w:rPr>
      </w:pPr>
      <w:r>
        <w:rPr>
          <w:sz w:val="24"/>
          <w:szCs w:val="24"/>
          <w:lang w:val="sr-Cyrl-RS"/>
        </w:rPr>
        <w:t xml:space="preserve">3. </w:t>
      </w:r>
      <w:r w:rsidR="00663E4C">
        <w:rPr>
          <w:sz w:val="24"/>
          <w:szCs w:val="24"/>
          <w:lang w:val="sr-Cyrl-RS"/>
        </w:rPr>
        <w:t>Израда</w:t>
      </w:r>
      <w:r w:rsidRPr="00E52002">
        <w:rPr>
          <w:sz w:val="24"/>
          <w:szCs w:val="24"/>
          <w:lang w:val="sr-Cyrl-RS"/>
        </w:rPr>
        <w:t xml:space="preserve"> правила у складу са принципом „Мислимо најпре на мале”</w:t>
      </w:r>
      <w:r>
        <w:rPr>
          <w:sz w:val="24"/>
          <w:szCs w:val="24"/>
          <w:lang w:val="sr-Cyrl-RS"/>
        </w:rPr>
        <w:t>;</w:t>
      </w:r>
    </w:p>
    <w:p w:rsidR="00E52002" w:rsidRDefault="00E52002" w:rsidP="00EE08B0">
      <w:pPr>
        <w:spacing w:after="0"/>
        <w:ind w:firstLine="708"/>
        <w:jc w:val="both"/>
        <w:rPr>
          <w:sz w:val="24"/>
          <w:szCs w:val="24"/>
          <w:lang w:val="sr-Cyrl-RS"/>
        </w:rPr>
      </w:pPr>
      <w:r>
        <w:rPr>
          <w:sz w:val="24"/>
          <w:szCs w:val="24"/>
          <w:lang w:val="sr-Cyrl-RS"/>
        </w:rPr>
        <w:t xml:space="preserve">4. </w:t>
      </w:r>
      <w:r w:rsidR="00CB479A">
        <w:rPr>
          <w:sz w:val="24"/>
          <w:szCs w:val="24"/>
          <w:lang w:val="sr-Cyrl-RS"/>
        </w:rPr>
        <w:t xml:space="preserve">Реаговање </w:t>
      </w:r>
      <w:r w:rsidR="00663E4C">
        <w:rPr>
          <w:sz w:val="24"/>
          <w:szCs w:val="24"/>
          <w:lang w:val="sr-Cyrl-RS"/>
        </w:rPr>
        <w:t>државне</w:t>
      </w:r>
      <w:r w:rsidRPr="00E52002">
        <w:rPr>
          <w:sz w:val="24"/>
          <w:szCs w:val="24"/>
          <w:lang w:val="sr-Cyrl-RS"/>
        </w:rPr>
        <w:t xml:space="preserve"> уп</w:t>
      </w:r>
      <w:r w:rsidR="00663E4C">
        <w:rPr>
          <w:sz w:val="24"/>
          <w:szCs w:val="24"/>
          <w:lang w:val="sr-Cyrl-RS"/>
        </w:rPr>
        <w:t>раве</w:t>
      </w:r>
      <w:r w:rsidR="00E437FE">
        <w:rPr>
          <w:sz w:val="24"/>
          <w:szCs w:val="24"/>
          <w:lang w:val="sr-Cyrl-RS"/>
        </w:rPr>
        <w:t xml:space="preserve"> </w:t>
      </w:r>
      <w:r w:rsidR="00CB479A">
        <w:rPr>
          <w:sz w:val="24"/>
          <w:szCs w:val="24"/>
          <w:lang w:val="sr-Cyrl-RS"/>
        </w:rPr>
        <w:t>на потребе</w:t>
      </w:r>
      <w:r w:rsidR="00E437FE">
        <w:rPr>
          <w:sz w:val="24"/>
          <w:szCs w:val="24"/>
          <w:lang w:val="sr-Cyrl-RS"/>
        </w:rPr>
        <w:t xml:space="preserve"> </w:t>
      </w:r>
      <w:r w:rsidRPr="00E52002">
        <w:rPr>
          <w:sz w:val="24"/>
          <w:szCs w:val="24"/>
          <w:lang w:val="sr-Cyrl-RS"/>
        </w:rPr>
        <w:t>малих и средњих предузећа</w:t>
      </w:r>
      <w:r>
        <w:rPr>
          <w:sz w:val="24"/>
          <w:szCs w:val="24"/>
          <w:lang w:val="sr-Cyrl-RS"/>
        </w:rPr>
        <w:t>;</w:t>
      </w:r>
    </w:p>
    <w:p w:rsidR="00E52002" w:rsidRDefault="00E52002" w:rsidP="00EE08B0">
      <w:pPr>
        <w:spacing w:after="0"/>
        <w:ind w:firstLine="708"/>
        <w:jc w:val="both"/>
        <w:rPr>
          <w:sz w:val="24"/>
          <w:szCs w:val="24"/>
          <w:lang w:val="sr-Cyrl-RS"/>
        </w:rPr>
      </w:pPr>
      <w:r>
        <w:rPr>
          <w:sz w:val="24"/>
          <w:szCs w:val="24"/>
          <w:lang w:val="sr-Cyrl-RS"/>
        </w:rPr>
        <w:t xml:space="preserve">5. </w:t>
      </w:r>
      <w:r w:rsidR="00663E4C">
        <w:rPr>
          <w:sz w:val="24"/>
          <w:szCs w:val="24"/>
          <w:lang w:val="sr-Cyrl-RS"/>
        </w:rPr>
        <w:t>Прилагођавање</w:t>
      </w:r>
      <w:r w:rsidRPr="00E52002">
        <w:rPr>
          <w:sz w:val="24"/>
          <w:szCs w:val="24"/>
          <w:lang w:val="sr-Cyrl-RS"/>
        </w:rPr>
        <w:t xml:space="preserve"> средст</w:t>
      </w:r>
      <w:r w:rsidR="00663E4C">
        <w:rPr>
          <w:sz w:val="24"/>
          <w:szCs w:val="24"/>
          <w:lang w:val="sr-Cyrl-RS"/>
        </w:rPr>
        <w:t>а</w:t>
      </w:r>
      <w:r w:rsidRPr="00E52002">
        <w:rPr>
          <w:sz w:val="24"/>
          <w:szCs w:val="24"/>
          <w:lang w:val="sr-Cyrl-RS"/>
        </w:rPr>
        <w:t>ва јавне политике потребама малих и средњих предузећа</w:t>
      </w:r>
      <w:r w:rsidR="00663E4C">
        <w:rPr>
          <w:sz w:val="24"/>
          <w:szCs w:val="24"/>
          <w:lang w:val="sr-Cyrl-RS"/>
        </w:rPr>
        <w:t xml:space="preserve"> - олакшавање учешћа</w:t>
      </w:r>
      <w:r w:rsidR="00E437FE">
        <w:rPr>
          <w:sz w:val="24"/>
          <w:szCs w:val="24"/>
          <w:lang w:val="sr-Cyrl-RS"/>
        </w:rPr>
        <w:t xml:space="preserve"> малих и средњих предузећа у поступцима јавне набавке и боље коришћење државне помоћи</w:t>
      </w:r>
      <w:r>
        <w:rPr>
          <w:sz w:val="24"/>
          <w:szCs w:val="24"/>
          <w:lang w:val="sr-Cyrl-RS"/>
        </w:rPr>
        <w:t>;</w:t>
      </w:r>
    </w:p>
    <w:p w:rsidR="00E52002" w:rsidRDefault="00E52002" w:rsidP="00EE08B0">
      <w:pPr>
        <w:spacing w:after="0"/>
        <w:ind w:firstLine="708"/>
        <w:jc w:val="both"/>
        <w:rPr>
          <w:sz w:val="24"/>
          <w:szCs w:val="24"/>
          <w:lang w:val="sr-Cyrl-RS"/>
        </w:rPr>
      </w:pPr>
      <w:r>
        <w:rPr>
          <w:sz w:val="24"/>
          <w:szCs w:val="24"/>
          <w:lang w:val="sr-Cyrl-RS"/>
        </w:rPr>
        <w:t xml:space="preserve">6. </w:t>
      </w:r>
      <w:r w:rsidR="00093A43">
        <w:rPr>
          <w:sz w:val="24"/>
          <w:szCs w:val="24"/>
          <w:lang w:val="sr-Cyrl-RS"/>
        </w:rPr>
        <w:t>Омогућав</w:t>
      </w:r>
      <w:r w:rsidR="007E5D58">
        <w:rPr>
          <w:sz w:val="24"/>
          <w:szCs w:val="24"/>
          <w:lang w:val="sr-Cyrl-RS"/>
        </w:rPr>
        <w:t>а</w:t>
      </w:r>
      <w:r w:rsidR="00093A43">
        <w:rPr>
          <w:sz w:val="24"/>
          <w:szCs w:val="24"/>
          <w:lang w:val="sr-Cyrl-RS"/>
        </w:rPr>
        <w:t xml:space="preserve">ње </w:t>
      </w:r>
      <w:r w:rsidR="007E5D58">
        <w:rPr>
          <w:sz w:val="24"/>
          <w:szCs w:val="24"/>
          <w:lang w:val="sr-Cyrl-RS"/>
        </w:rPr>
        <w:t>малим и средњим предузећима лакши</w:t>
      </w:r>
      <w:r w:rsidR="00093A43">
        <w:rPr>
          <w:sz w:val="24"/>
          <w:szCs w:val="24"/>
          <w:lang w:val="sr-Cyrl-RS"/>
        </w:rPr>
        <w:t xml:space="preserve"> </w:t>
      </w:r>
      <w:r w:rsidRPr="00E52002">
        <w:rPr>
          <w:sz w:val="24"/>
          <w:szCs w:val="24"/>
          <w:lang w:val="sr-Cyrl-RS"/>
        </w:rPr>
        <w:t xml:space="preserve"> приступ</w:t>
      </w:r>
      <w:r w:rsidR="00663E4C">
        <w:rPr>
          <w:sz w:val="24"/>
          <w:szCs w:val="24"/>
          <w:lang w:val="sr-Cyrl-RS"/>
        </w:rPr>
        <w:t xml:space="preserve"> финансијама и стварање</w:t>
      </w:r>
      <w:r w:rsidRPr="00E52002">
        <w:rPr>
          <w:sz w:val="24"/>
          <w:szCs w:val="24"/>
          <w:lang w:val="sr-Cyrl-RS"/>
        </w:rPr>
        <w:t xml:space="preserve"> правно</w:t>
      </w:r>
      <w:r w:rsidR="00663E4C">
        <w:rPr>
          <w:sz w:val="24"/>
          <w:szCs w:val="24"/>
          <w:lang w:val="sr-Cyrl-RS"/>
        </w:rPr>
        <w:t>г</w:t>
      </w:r>
      <w:r w:rsidRPr="00E52002">
        <w:rPr>
          <w:sz w:val="24"/>
          <w:szCs w:val="24"/>
          <w:lang w:val="sr-Cyrl-RS"/>
        </w:rPr>
        <w:t xml:space="preserve"> и пословно</w:t>
      </w:r>
      <w:r w:rsidR="00663E4C">
        <w:rPr>
          <w:sz w:val="24"/>
          <w:szCs w:val="24"/>
          <w:lang w:val="sr-Cyrl-RS"/>
        </w:rPr>
        <w:t>г окружења</w:t>
      </w:r>
      <w:r w:rsidRPr="00E52002">
        <w:rPr>
          <w:sz w:val="24"/>
          <w:szCs w:val="24"/>
          <w:lang w:val="sr-Cyrl-RS"/>
        </w:rPr>
        <w:t xml:space="preserve"> које подржава благовремено плаћање у пословним трансакцијама</w:t>
      </w:r>
      <w:r>
        <w:rPr>
          <w:sz w:val="24"/>
          <w:szCs w:val="24"/>
          <w:lang w:val="sr-Cyrl-RS"/>
        </w:rPr>
        <w:t>;</w:t>
      </w:r>
    </w:p>
    <w:p w:rsidR="00E52002" w:rsidRDefault="00E52002" w:rsidP="00EE08B0">
      <w:pPr>
        <w:spacing w:after="0"/>
        <w:ind w:firstLine="708"/>
        <w:jc w:val="both"/>
        <w:rPr>
          <w:sz w:val="24"/>
          <w:szCs w:val="24"/>
          <w:lang w:val="sr-Cyrl-RS"/>
        </w:rPr>
      </w:pPr>
      <w:r>
        <w:rPr>
          <w:sz w:val="24"/>
          <w:szCs w:val="24"/>
          <w:lang w:val="sr-Cyrl-RS"/>
        </w:rPr>
        <w:t xml:space="preserve">7. </w:t>
      </w:r>
      <w:r w:rsidR="00663E4C">
        <w:rPr>
          <w:sz w:val="24"/>
          <w:szCs w:val="24"/>
          <w:lang w:val="sr-Cyrl-RS"/>
        </w:rPr>
        <w:t>Помоћ</w:t>
      </w:r>
      <w:r w:rsidRPr="00E52002">
        <w:rPr>
          <w:sz w:val="24"/>
          <w:szCs w:val="24"/>
          <w:lang w:val="sr-Cyrl-RS"/>
        </w:rPr>
        <w:t xml:space="preserve"> малим и средњим предузећима </w:t>
      </w:r>
      <w:r w:rsidR="00663E4C">
        <w:rPr>
          <w:sz w:val="24"/>
          <w:szCs w:val="24"/>
          <w:lang w:val="sr-Cyrl-RS"/>
        </w:rPr>
        <w:t xml:space="preserve">у коришћењу </w:t>
      </w:r>
      <w:r w:rsidRPr="00E52002">
        <w:rPr>
          <w:sz w:val="24"/>
          <w:szCs w:val="24"/>
          <w:lang w:val="sr-Cyrl-RS"/>
        </w:rPr>
        <w:t>могућности које пружа јединствено тржиште</w:t>
      </w:r>
      <w:r>
        <w:rPr>
          <w:sz w:val="24"/>
          <w:szCs w:val="24"/>
          <w:lang w:val="sr-Cyrl-RS"/>
        </w:rPr>
        <w:t>;</w:t>
      </w:r>
    </w:p>
    <w:p w:rsidR="00E52002" w:rsidRDefault="00E52002" w:rsidP="00EE08B0">
      <w:pPr>
        <w:spacing w:after="0"/>
        <w:ind w:firstLine="708"/>
        <w:jc w:val="both"/>
        <w:rPr>
          <w:sz w:val="24"/>
          <w:szCs w:val="24"/>
          <w:lang w:val="sr-Cyrl-RS"/>
        </w:rPr>
      </w:pPr>
      <w:r>
        <w:rPr>
          <w:sz w:val="24"/>
          <w:szCs w:val="24"/>
          <w:lang w:val="sr-Cyrl-RS"/>
        </w:rPr>
        <w:t xml:space="preserve">8. </w:t>
      </w:r>
      <w:r w:rsidR="00663E4C">
        <w:rPr>
          <w:sz w:val="24"/>
          <w:szCs w:val="24"/>
          <w:lang w:val="sr-Cyrl-RS"/>
        </w:rPr>
        <w:t>Подстицање</w:t>
      </w:r>
      <w:r w:rsidRPr="00E52002">
        <w:rPr>
          <w:sz w:val="24"/>
          <w:szCs w:val="24"/>
          <w:lang w:val="sr-Cyrl-RS"/>
        </w:rPr>
        <w:t xml:space="preserve"> стручно</w:t>
      </w:r>
      <w:r w:rsidR="00663E4C">
        <w:rPr>
          <w:sz w:val="24"/>
          <w:szCs w:val="24"/>
          <w:lang w:val="sr-Cyrl-RS"/>
        </w:rPr>
        <w:t>г усавршавања и свих облика</w:t>
      </w:r>
      <w:r w:rsidRPr="00E52002">
        <w:rPr>
          <w:sz w:val="24"/>
          <w:szCs w:val="24"/>
          <w:lang w:val="sr-Cyrl-RS"/>
        </w:rPr>
        <w:t xml:space="preserve"> иновација</w:t>
      </w:r>
      <w:r>
        <w:rPr>
          <w:sz w:val="24"/>
          <w:szCs w:val="24"/>
          <w:lang w:val="sr-Cyrl-RS"/>
        </w:rPr>
        <w:t>;</w:t>
      </w:r>
    </w:p>
    <w:p w:rsidR="00E52002" w:rsidRDefault="00E52002" w:rsidP="00EE08B0">
      <w:pPr>
        <w:spacing w:after="0"/>
        <w:ind w:firstLine="708"/>
        <w:jc w:val="both"/>
        <w:rPr>
          <w:sz w:val="24"/>
          <w:szCs w:val="24"/>
          <w:lang w:val="sr-Cyrl-RS"/>
        </w:rPr>
      </w:pPr>
      <w:r>
        <w:rPr>
          <w:sz w:val="24"/>
          <w:szCs w:val="24"/>
          <w:lang w:val="sr-Cyrl-RS"/>
        </w:rPr>
        <w:t xml:space="preserve">9. </w:t>
      </w:r>
      <w:r w:rsidR="00663E4C">
        <w:rPr>
          <w:sz w:val="24"/>
          <w:szCs w:val="24"/>
          <w:lang w:val="sr-Cyrl-RS"/>
        </w:rPr>
        <w:t xml:space="preserve">Омогућавање малим и средњим предузећима </w:t>
      </w:r>
      <w:r w:rsidR="0041612B">
        <w:rPr>
          <w:sz w:val="24"/>
          <w:szCs w:val="24"/>
          <w:lang w:val="sr-Cyrl-RS"/>
        </w:rPr>
        <w:t>искоришћавања</w:t>
      </w:r>
      <w:r w:rsidRPr="00E52002">
        <w:rPr>
          <w:sz w:val="24"/>
          <w:szCs w:val="24"/>
          <w:lang w:val="sr-Cyrl-RS"/>
        </w:rPr>
        <w:t xml:space="preserve"> промен</w:t>
      </w:r>
      <w:r w:rsidR="0041612B">
        <w:rPr>
          <w:sz w:val="24"/>
          <w:szCs w:val="24"/>
          <w:lang w:val="sr-Cyrl-RS"/>
        </w:rPr>
        <w:t>а</w:t>
      </w:r>
      <w:r w:rsidRPr="00E52002">
        <w:rPr>
          <w:sz w:val="24"/>
          <w:szCs w:val="24"/>
          <w:lang w:val="sr-Cyrl-RS"/>
        </w:rPr>
        <w:t xml:space="preserve"> у заштити животне средине</w:t>
      </w:r>
      <w:r>
        <w:rPr>
          <w:sz w:val="24"/>
          <w:szCs w:val="24"/>
          <w:lang w:val="sr-Cyrl-RS"/>
        </w:rPr>
        <w:t>;</w:t>
      </w:r>
    </w:p>
    <w:p w:rsidR="00E52002" w:rsidRDefault="00E52002" w:rsidP="00EE08B0">
      <w:pPr>
        <w:spacing w:after="0"/>
        <w:ind w:firstLine="708"/>
        <w:jc w:val="both"/>
        <w:rPr>
          <w:sz w:val="24"/>
          <w:szCs w:val="24"/>
          <w:lang w:val="sr-Cyrl-RS"/>
        </w:rPr>
      </w:pPr>
      <w:r>
        <w:rPr>
          <w:sz w:val="24"/>
          <w:szCs w:val="24"/>
          <w:lang w:val="sr-Cyrl-RS"/>
        </w:rPr>
        <w:t xml:space="preserve">10. </w:t>
      </w:r>
      <w:r w:rsidR="0041612B">
        <w:rPr>
          <w:sz w:val="24"/>
          <w:szCs w:val="24"/>
          <w:lang w:val="sr-Cyrl-RS"/>
        </w:rPr>
        <w:t>Подстицање</w:t>
      </w:r>
      <w:r w:rsidRPr="00E52002">
        <w:rPr>
          <w:sz w:val="24"/>
          <w:szCs w:val="24"/>
          <w:lang w:val="sr-Cyrl-RS"/>
        </w:rPr>
        <w:t xml:space="preserve"> и подр</w:t>
      </w:r>
      <w:r w:rsidR="0041612B">
        <w:rPr>
          <w:sz w:val="24"/>
          <w:szCs w:val="24"/>
          <w:lang w:val="sr-Cyrl-RS"/>
        </w:rPr>
        <w:t>жавање малих и средњих</w:t>
      </w:r>
      <w:r w:rsidR="00093A43">
        <w:rPr>
          <w:sz w:val="24"/>
          <w:szCs w:val="24"/>
          <w:lang w:val="sr-Cyrl-RS"/>
        </w:rPr>
        <w:t xml:space="preserve"> предузећа да користе </w:t>
      </w:r>
      <w:r w:rsidR="00E437FE">
        <w:rPr>
          <w:sz w:val="24"/>
          <w:szCs w:val="24"/>
          <w:lang w:val="sr-Cyrl-RS"/>
        </w:rPr>
        <w:t>раст тржишта</w:t>
      </w:r>
      <w:r>
        <w:rPr>
          <w:sz w:val="24"/>
          <w:szCs w:val="24"/>
          <w:lang w:val="sr-Cyrl-RS"/>
        </w:rPr>
        <w:t>.</w:t>
      </w:r>
    </w:p>
    <w:p w:rsidR="00E437FE" w:rsidRDefault="00E437FE" w:rsidP="00EE08B0">
      <w:pPr>
        <w:spacing w:after="0"/>
        <w:ind w:firstLine="708"/>
        <w:jc w:val="both"/>
        <w:rPr>
          <w:sz w:val="24"/>
          <w:szCs w:val="24"/>
          <w:lang w:val="sr-Cyrl-RS"/>
        </w:rPr>
      </w:pPr>
      <w:r>
        <w:rPr>
          <w:sz w:val="24"/>
          <w:szCs w:val="24"/>
          <w:lang w:val="sr-Cyrl-RS"/>
        </w:rPr>
        <w:t xml:space="preserve">У оквиру петог принципа као један од битних стубова предвиђено </w:t>
      </w:r>
      <w:r w:rsidR="0041612B">
        <w:rPr>
          <w:sz w:val="24"/>
          <w:szCs w:val="24"/>
          <w:lang w:val="sr-Cyrl-RS"/>
        </w:rPr>
        <w:t xml:space="preserve">је </w:t>
      </w:r>
      <w:r>
        <w:rPr>
          <w:sz w:val="24"/>
          <w:szCs w:val="24"/>
          <w:lang w:val="sr-Cyrl-RS"/>
        </w:rPr>
        <w:t xml:space="preserve">да државе чланице  омогуће лакше учествовање </w:t>
      </w:r>
      <w:r w:rsidR="00575828" w:rsidRPr="00575828">
        <w:rPr>
          <w:sz w:val="24"/>
          <w:szCs w:val="24"/>
          <w:lang w:val="sr-Cyrl-RS"/>
        </w:rPr>
        <w:t>М</w:t>
      </w:r>
      <w:r w:rsidR="0041612B">
        <w:rPr>
          <w:sz w:val="24"/>
          <w:szCs w:val="24"/>
          <w:lang w:val="sr-Cyrl-RS"/>
        </w:rPr>
        <w:t>МС</w:t>
      </w:r>
      <w:r w:rsidR="00575828" w:rsidRPr="00575828">
        <w:rPr>
          <w:sz w:val="24"/>
          <w:szCs w:val="24"/>
          <w:lang w:val="sr-Cyrl-RS"/>
        </w:rPr>
        <w:t>П</w:t>
      </w:r>
      <w:r>
        <w:rPr>
          <w:sz w:val="24"/>
          <w:szCs w:val="24"/>
          <w:lang w:val="sr-Cyrl-RS"/>
        </w:rPr>
        <w:t xml:space="preserve"> у јавни</w:t>
      </w:r>
      <w:r w:rsidR="00EA73BF">
        <w:rPr>
          <w:sz w:val="24"/>
          <w:szCs w:val="24"/>
          <w:lang w:val="sr-Cyrl-RS"/>
        </w:rPr>
        <w:t>м набавкама на тај начин што ће:</w:t>
      </w:r>
    </w:p>
    <w:p w:rsidR="00E437FE" w:rsidRDefault="00E437FE" w:rsidP="00EE08B0">
      <w:pPr>
        <w:spacing w:after="0"/>
        <w:ind w:firstLine="708"/>
        <w:jc w:val="both"/>
        <w:rPr>
          <w:sz w:val="24"/>
          <w:szCs w:val="24"/>
          <w:lang w:val="sr-Cyrl-RS"/>
        </w:rPr>
      </w:pPr>
      <w:r>
        <w:rPr>
          <w:sz w:val="24"/>
          <w:szCs w:val="24"/>
          <w:lang w:val="sr-Cyrl-RS"/>
        </w:rPr>
        <w:t xml:space="preserve">- успоставити електронске портале у циљу </w:t>
      </w:r>
      <w:r w:rsidR="00EA73BF">
        <w:rPr>
          <w:sz w:val="24"/>
          <w:szCs w:val="24"/>
          <w:lang w:val="sr-Cyrl-RS"/>
        </w:rPr>
        <w:t xml:space="preserve">објављивања </w:t>
      </w:r>
      <w:r>
        <w:rPr>
          <w:sz w:val="24"/>
          <w:szCs w:val="24"/>
          <w:lang w:val="sr-Cyrl-RS"/>
        </w:rPr>
        <w:t>информација о јавним набавкама;</w:t>
      </w:r>
    </w:p>
    <w:p w:rsidR="00E437FE" w:rsidRDefault="00E437FE" w:rsidP="00EE08B0">
      <w:pPr>
        <w:spacing w:after="0"/>
        <w:ind w:firstLine="708"/>
        <w:jc w:val="both"/>
        <w:rPr>
          <w:sz w:val="24"/>
          <w:szCs w:val="24"/>
          <w:lang w:val="sr-Cyrl-RS"/>
        </w:rPr>
      </w:pPr>
      <w:r>
        <w:rPr>
          <w:sz w:val="24"/>
          <w:szCs w:val="24"/>
          <w:lang w:val="sr-Cyrl-RS"/>
        </w:rPr>
        <w:t>- охрабривати наручиоце да предмет набавке деле по партијама кад год је то могуће и учинити видљивијим могућности учествовања у заједничким понудама и понудама са подизвођачима;</w:t>
      </w:r>
    </w:p>
    <w:p w:rsidR="00E437FE" w:rsidRDefault="00E437FE" w:rsidP="00EE08B0">
      <w:pPr>
        <w:spacing w:after="0"/>
        <w:ind w:firstLine="708"/>
        <w:jc w:val="both"/>
        <w:rPr>
          <w:sz w:val="24"/>
          <w:szCs w:val="24"/>
          <w:lang w:val="sr-Cyrl-RS"/>
        </w:rPr>
      </w:pPr>
      <w:r>
        <w:rPr>
          <w:sz w:val="24"/>
          <w:szCs w:val="24"/>
          <w:lang w:val="sr-Cyrl-RS"/>
        </w:rPr>
        <w:t xml:space="preserve">- </w:t>
      </w:r>
      <w:r w:rsidR="00F73D96">
        <w:rPr>
          <w:sz w:val="24"/>
          <w:szCs w:val="24"/>
          <w:lang w:val="sr-Cyrl-RS"/>
        </w:rPr>
        <w:t>указивати нару</w:t>
      </w:r>
      <w:r w:rsidR="0041612B">
        <w:rPr>
          <w:sz w:val="24"/>
          <w:szCs w:val="24"/>
          <w:lang w:val="sr-Cyrl-RS"/>
        </w:rPr>
        <w:t>чиоцима на обавезу избегавања</w:t>
      </w:r>
      <w:r w:rsidR="00F73D96">
        <w:rPr>
          <w:sz w:val="24"/>
          <w:szCs w:val="24"/>
          <w:lang w:val="sr-Cyrl-RS"/>
        </w:rPr>
        <w:t xml:space="preserve"> непропорционално</w:t>
      </w:r>
      <w:r w:rsidR="006E65BF">
        <w:rPr>
          <w:sz w:val="24"/>
          <w:szCs w:val="24"/>
          <w:lang w:val="sr-Cyrl-RS"/>
        </w:rPr>
        <w:t>г одређивања</w:t>
      </w:r>
      <w:r w:rsidR="00F73D96">
        <w:rPr>
          <w:sz w:val="24"/>
          <w:szCs w:val="24"/>
          <w:lang w:val="sr-Cyrl-RS"/>
        </w:rPr>
        <w:t xml:space="preserve"> капацитета (пословног, финансијског, техничког и кадровског);</w:t>
      </w:r>
    </w:p>
    <w:p w:rsidR="00F73D96" w:rsidRDefault="00F73D96" w:rsidP="00F73D96">
      <w:pPr>
        <w:spacing w:after="0"/>
        <w:ind w:firstLine="708"/>
        <w:jc w:val="both"/>
        <w:rPr>
          <w:sz w:val="24"/>
          <w:szCs w:val="24"/>
          <w:lang w:val="sr-Cyrl-RS"/>
        </w:rPr>
      </w:pPr>
      <w:r>
        <w:rPr>
          <w:sz w:val="24"/>
          <w:szCs w:val="24"/>
          <w:lang w:val="sr-Cyrl-RS"/>
        </w:rPr>
        <w:t xml:space="preserve">- охрабривати дијалог и узајмно разумевање између </w:t>
      </w:r>
      <w:r w:rsidR="00575828" w:rsidRPr="00575828">
        <w:rPr>
          <w:sz w:val="24"/>
          <w:szCs w:val="24"/>
          <w:lang w:val="sr-Cyrl-RS"/>
        </w:rPr>
        <w:t>М</w:t>
      </w:r>
      <w:r w:rsidR="0041612B">
        <w:rPr>
          <w:sz w:val="24"/>
          <w:szCs w:val="24"/>
          <w:lang w:val="sr-Cyrl-RS"/>
        </w:rPr>
        <w:t>М</w:t>
      </w:r>
      <w:r w:rsidR="00575828" w:rsidRPr="00575828">
        <w:rPr>
          <w:sz w:val="24"/>
          <w:szCs w:val="24"/>
          <w:lang w:val="sr-Cyrl-RS"/>
        </w:rPr>
        <w:t>СП</w:t>
      </w:r>
      <w:r>
        <w:rPr>
          <w:sz w:val="24"/>
          <w:szCs w:val="24"/>
          <w:lang w:val="sr-Cyrl-RS"/>
        </w:rPr>
        <w:t xml:space="preserve"> и великих купаца (наручилаца) кроз активности као што су: информисање, обуке, надзор и размена добре праксе.</w:t>
      </w:r>
    </w:p>
    <w:p w:rsidR="00F73D96" w:rsidRPr="006B5A9A" w:rsidRDefault="00F73D96" w:rsidP="00F73D96">
      <w:pPr>
        <w:spacing w:after="0"/>
        <w:ind w:firstLine="708"/>
        <w:jc w:val="both"/>
        <w:rPr>
          <w:sz w:val="24"/>
          <w:szCs w:val="24"/>
          <w:lang w:val="sr-Cyrl-RS"/>
        </w:rPr>
      </w:pPr>
      <w:r w:rsidRPr="006B5A9A">
        <w:rPr>
          <w:sz w:val="24"/>
          <w:szCs w:val="24"/>
          <w:lang w:val="sr-Cyrl-RS"/>
        </w:rPr>
        <w:lastRenderedPageBreak/>
        <w:t>У Стратегији развоја малих и средњих предузећа, предузетништва и конкурентности за период од 2015-2020. године</w:t>
      </w:r>
      <w:r w:rsidR="00EA73BF" w:rsidRPr="006B5A9A">
        <w:rPr>
          <w:rStyle w:val="FootnoteReference"/>
          <w:sz w:val="24"/>
          <w:szCs w:val="24"/>
          <w:lang w:val="sr-Cyrl-RS"/>
        </w:rPr>
        <w:footnoteReference w:id="5"/>
      </w:r>
      <w:r w:rsidRPr="006B5A9A">
        <w:rPr>
          <w:sz w:val="24"/>
          <w:szCs w:val="24"/>
          <w:lang w:val="sr-Cyrl-RS"/>
        </w:rPr>
        <w:t xml:space="preserve"> коју је Влада Републике Србије усвојила утврђује се оквир, циљеви, приоритети и мере за унапређење развоја микро, малих и средњих предузећа и предузетништва у наредном средњорочном периоду.</w:t>
      </w:r>
      <w:r w:rsidR="00CF06F2" w:rsidRPr="006B5A9A">
        <w:t xml:space="preserve"> </w:t>
      </w:r>
      <w:r w:rsidR="00CF06F2" w:rsidRPr="006B5A9A">
        <w:rPr>
          <w:sz w:val="24"/>
          <w:szCs w:val="24"/>
          <w:lang w:val="sr-Cyrl-RS"/>
        </w:rPr>
        <w:t>Принципи Акта о малим предузећима, који представљају оквир политике развоја малих предузећа у ЕУ су, у великој мери, обухваћени Стратегијом</w:t>
      </w:r>
      <w:r w:rsidR="00B01DA2" w:rsidRPr="006B5A9A">
        <w:rPr>
          <w:sz w:val="24"/>
          <w:szCs w:val="24"/>
          <w:lang w:val="sr-Cyrl-RS"/>
        </w:rPr>
        <w:t xml:space="preserve">.  </w:t>
      </w:r>
      <w:r w:rsidR="009D0624" w:rsidRPr="006B5A9A">
        <w:rPr>
          <w:sz w:val="24"/>
          <w:szCs w:val="24"/>
          <w:lang w:val="sr-Cyrl-RS"/>
        </w:rPr>
        <w:t>У наведеној Стратегији, у</w:t>
      </w:r>
      <w:r w:rsidR="00B01DA2" w:rsidRPr="006B5A9A">
        <w:rPr>
          <w:sz w:val="24"/>
          <w:szCs w:val="24"/>
          <w:lang w:val="sr-Cyrl-RS"/>
        </w:rPr>
        <w:t xml:space="preserve"> оквиру</w:t>
      </w:r>
      <w:r w:rsidR="00C41D5E" w:rsidRPr="006B5A9A">
        <w:rPr>
          <w:sz w:val="24"/>
          <w:szCs w:val="24"/>
          <w:lang w:val="sr-Cyrl-RS"/>
        </w:rPr>
        <w:t xml:space="preserve"> 1. Стуба - Унапређење пословног окружења,</w:t>
      </w:r>
      <w:r w:rsidR="00B01DA2" w:rsidRPr="006B5A9A">
        <w:rPr>
          <w:sz w:val="24"/>
          <w:szCs w:val="24"/>
          <w:lang w:val="sr-Cyrl-RS"/>
        </w:rPr>
        <w:t xml:space="preserve"> Димензије</w:t>
      </w:r>
      <w:r w:rsidR="00E44004" w:rsidRPr="006B5A9A">
        <w:rPr>
          <w:sz w:val="24"/>
          <w:szCs w:val="24"/>
          <w:lang w:val="sr-Cyrl-RS"/>
        </w:rPr>
        <w:t xml:space="preserve"> 2 - </w:t>
      </w:r>
      <w:r w:rsidR="00B01DA2" w:rsidRPr="006B5A9A">
        <w:rPr>
          <w:sz w:val="24"/>
          <w:szCs w:val="24"/>
          <w:lang w:val="sr-Cyrl-RS"/>
        </w:rPr>
        <w:t xml:space="preserve"> Унапређење ефикасности спровођења административних поступака</w:t>
      </w:r>
      <w:r w:rsidR="00E44004" w:rsidRPr="006B5A9A">
        <w:rPr>
          <w:sz w:val="24"/>
          <w:szCs w:val="24"/>
          <w:lang w:val="sr-Cyrl-RS"/>
        </w:rPr>
        <w:t xml:space="preserve"> као једна од приоритетних мера предвиђено је побољшање услова за учешће </w:t>
      </w:r>
      <w:r w:rsidR="006E65BF">
        <w:rPr>
          <w:sz w:val="24"/>
          <w:szCs w:val="24"/>
          <w:lang w:val="sr-Cyrl-RS"/>
        </w:rPr>
        <w:t>ММ</w:t>
      </w:r>
      <w:r w:rsidR="00575828" w:rsidRPr="006B5A9A">
        <w:rPr>
          <w:sz w:val="24"/>
          <w:szCs w:val="24"/>
          <w:lang w:val="sr-Cyrl-RS"/>
        </w:rPr>
        <w:t>ПП</w:t>
      </w:r>
      <w:r w:rsidR="00E44004" w:rsidRPr="006B5A9A">
        <w:rPr>
          <w:sz w:val="24"/>
          <w:szCs w:val="24"/>
          <w:lang w:val="sr-Cyrl-RS"/>
        </w:rPr>
        <w:t xml:space="preserve"> у јавним набавкама.</w:t>
      </w:r>
      <w:r w:rsidR="00C41D5E" w:rsidRPr="006B5A9A">
        <w:rPr>
          <w:sz w:val="24"/>
          <w:szCs w:val="24"/>
          <w:lang w:val="sr-Cyrl-RS"/>
        </w:rPr>
        <w:t xml:space="preserve"> У наведеној димензији је наведено да је потребно омогућити бољи приступ </w:t>
      </w:r>
      <w:r w:rsidR="006E65BF">
        <w:rPr>
          <w:sz w:val="24"/>
          <w:szCs w:val="24"/>
          <w:lang w:val="sr-Cyrl-RS"/>
        </w:rPr>
        <w:t>ММС</w:t>
      </w:r>
      <w:r w:rsidR="00575828" w:rsidRPr="006B5A9A">
        <w:rPr>
          <w:sz w:val="24"/>
          <w:szCs w:val="24"/>
          <w:lang w:val="sr-Cyrl-RS"/>
        </w:rPr>
        <w:t>П</w:t>
      </w:r>
      <w:r w:rsidR="00C41D5E" w:rsidRPr="006B5A9A">
        <w:rPr>
          <w:sz w:val="24"/>
          <w:szCs w:val="24"/>
          <w:lang w:val="sr-Cyrl-RS"/>
        </w:rPr>
        <w:t xml:space="preserve"> јавним набавкама, побољшати њихову информисаност о различитим аспектима учешћа у поступцима јавних набавки и смањити админ</w:t>
      </w:r>
      <w:r w:rsidR="00697278">
        <w:rPr>
          <w:sz w:val="24"/>
          <w:szCs w:val="24"/>
          <w:lang w:val="sr-Cyrl-RS"/>
        </w:rPr>
        <w:t>истративне препреке за учешће М</w:t>
      </w:r>
      <w:r w:rsidR="006E65BF">
        <w:rPr>
          <w:sz w:val="24"/>
          <w:szCs w:val="24"/>
          <w:lang w:val="sr-Cyrl-RS"/>
        </w:rPr>
        <w:t>МС</w:t>
      </w:r>
      <w:r w:rsidR="00697278">
        <w:rPr>
          <w:sz w:val="24"/>
          <w:szCs w:val="24"/>
          <w:lang w:val="sr-Cyrl-RS"/>
        </w:rPr>
        <w:t>П</w:t>
      </w:r>
      <w:r w:rsidR="00C41D5E" w:rsidRPr="006B5A9A">
        <w:rPr>
          <w:sz w:val="24"/>
          <w:szCs w:val="24"/>
          <w:lang w:val="sr-Cyrl-RS"/>
        </w:rPr>
        <w:t xml:space="preserve"> на тендерима, поред осталог, и већим коришћењем могућности електронских јавних набавки.</w:t>
      </w:r>
      <w:r w:rsidR="00730FFF" w:rsidRPr="006B5A9A">
        <w:rPr>
          <w:sz w:val="24"/>
          <w:szCs w:val="24"/>
          <w:lang w:val="sr-Cyrl-RS"/>
        </w:rPr>
        <w:t xml:space="preserve"> У Акционом плану који је саставни део Стратегије предвиђене су следеће активности које се односе на јавне набавке и учешће </w:t>
      </w:r>
      <w:r w:rsidR="00575828" w:rsidRPr="006B5A9A">
        <w:rPr>
          <w:sz w:val="24"/>
          <w:szCs w:val="24"/>
          <w:lang w:val="sr-Cyrl-RS"/>
        </w:rPr>
        <w:t>М</w:t>
      </w:r>
      <w:r w:rsidR="0041612B">
        <w:rPr>
          <w:sz w:val="24"/>
          <w:szCs w:val="24"/>
          <w:lang w:val="sr-Cyrl-RS"/>
        </w:rPr>
        <w:t>МС</w:t>
      </w:r>
      <w:r w:rsidR="00575828" w:rsidRPr="006B5A9A">
        <w:rPr>
          <w:sz w:val="24"/>
          <w:szCs w:val="24"/>
          <w:lang w:val="sr-Cyrl-RS"/>
        </w:rPr>
        <w:t>П</w:t>
      </w:r>
      <w:r w:rsidR="00730FFF" w:rsidRPr="006B5A9A">
        <w:rPr>
          <w:sz w:val="24"/>
          <w:szCs w:val="24"/>
          <w:lang w:val="sr-Cyrl-RS"/>
        </w:rPr>
        <w:t xml:space="preserve"> у поступцима, а у којима је као</w:t>
      </w:r>
      <w:r w:rsidR="00697278">
        <w:rPr>
          <w:sz w:val="24"/>
          <w:szCs w:val="24"/>
          <w:lang w:val="sr-Cyrl-RS"/>
        </w:rPr>
        <w:t xml:space="preserve"> носилац активности одређена Уп</w:t>
      </w:r>
      <w:r w:rsidR="00730FFF" w:rsidRPr="006B5A9A">
        <w:rPr>
          <w:sz w:val="24"/>
          <w:szCs w:val="24"/>
          <w:lang w:val="sr-Cyrl-RS"/>
        </w:rPr>
        <w:t>р</w:t>
      </w:r>
      <w:r w:rsidR="00697278">
        <w:rPr>
          <w:sz w:val="24"/>
          <w:szCs w:val="24"/>
          <w:lang w:val="sr-Cyrl-RS"/>
        </w:rPr>
        <w:t>а</w:t>
      </w:r>
      <w:r w:rsidR="00730FFF" w:rsidRPr="006B5A9A">
        <w:rPr>
          <w:sz w:val="24"/>
          <w:szCs w:val="24"/>
          <w:lang w:val="sr-Cyrl-RS"/>
        </w:rPr>
        <w:t>ва за јавне набавке:</w:t>
      </w:r>
    </w:p>
    <w:p w:rsidR="00730FFF" w:rsidRPr="006B5A9A" w:rsidRDefault="00730FFF" w:rsidP="00F73D96">
      <w:pPr>
        <w:spacing w:after="0"/>
        <w:ind w:firstLine="708"/>
        <w:jc w:val="both"/>
        <w:rPr>
          <w:sz w:val="24"/>
          <w:szCs w:val="24"/>
          <w:lang w:val="sr-Cyrl-RS"/>
        </w:rPr>
      </w:pPr>
      <w:r w:rsidRPr="006B5A9A">
        <w:rPr>
          <w:sz w:val="24"/>
          <w:szCs w:val="24"/>
          <w:lang w:val="sr-Cyrl-RS"/>
        </w:rPr>
        <w:t>- унапређење Портала јавних набавки у смислу омогућавања објављивања планова набавки наручилаца, објављивање набавки које се спроводе по међународним процедурама, унапређење претраге одлука Републичке комисије за заштиту права у поступцима јавних набавки, постављања регистра јавних уговора;</w:t>
      </w:r>
    </w:p>
    <w:p w:rsidR="00730FFF" w:rsidRPr="006B5A9A" w:rsidRDefault="00730FFF" w:rsidP="00F73D96">
      <w:pPr>
        <w:spacing w:after="0"/>
        <w:ind w:firstLine="708"/>
        <w:jc w:val="both"/>
        <w:rPr>
          <w:sz w:val="24"/>
          <w:szCs w:val="24"/>
          <w:lang w:val="sr-Cyrl-RS"/>
        </w:rPr>
      </w:pPr>
      <w:r w:rsidRPr="006B5A9A">
        <w:rPr>
          <w:sz w:val="24"/>
          <w:szCs w:val="24"/>
          <w:lang w:val="sr-Cyrl-RS"/>
        </w:rPr>
        <w:t>- спровођење обука и промовисање електронских јавних набавки;</w:t>
      </w:r>
    </w:p>
    <w:p w:rsidR="00730FFF" w:rsidRPr="006B5A9A" w:rsidRDefault="00730FFF" w:rsidP="00F73D96">
      <w:pPr>
        <w:spacing w:after="0"/>
        <w:ind w:firstLine="708"/>
        <w:jc w:val="both"/>
        <w:rPr>
          <w:sz w:val="24"/>
          <w:szCs w:val="24"/>
          <w:lang w:val="sr-Cyrl-RS"/>
        </w:rPr>
      </w:pPr>
      <w:r w:rsidRPr="006B5A9A">
        <w:rPr>
          <w:sz w:val="24"/>
          <w:szCs w:val="24"/>
          <w:lang w:val="sr-Cyrl-RS"/>
        </w:rPr>
        <w:t>- спровођење обука о унапређењу међусобне информисаности наручилаца и понуђача;</w:t>
      </w:r>
    </w:p>
    <w:p w:rsidR="00730FFF" w:rsidRPr="006B5A9A" w:rsidRDefault="00730FFF" w:rsidP="00F73D96">
      <w:pPr>
        <w:spacing w:after="0"/>
        <w:ind w:firstLine="708"/>
        <w:jc w:val="both"/>
        <w:rPr>
          <w:sz w:val="24"/>
          <w:szCs w:val="24"/>
          <w:lang w:val="sr-Cyrl-RS"/>
        </w:rPr>
      </w:pPr>
      <w:r w:rsidRPr="006B5A9A">
        <w:rPr>
          <w:sz w:val="24"/>
          <w:szCs w:val="24"/>
          <w:lang w:val="sr-Cyrl-RS"/>
        </w:rPr>
        <w:t xml:space="preserve">- </w:t>
      </w:r>
      <w:r w:rsidR="00EA73BF" w:rsidRPr="006B5A9A">
        <w:rPr>
          <w:sz w:val="24"/>
          <w:szCs w:val="24"/>
          <w:lang w:val="sr-Cyrl-RS"/>
        </w:rPr>
        <w:t>израда смерница за повећање учешћа М</w:t>
      </w:r>
      <w:r w:rsidR="0041612B">
        <w:rPr>
          <w:sz w:val="24"/>
          <w:szCs w:val="24"/>
          <w:lang w:val="sr-Cyrl-RS"/>
        </w:rPr>
        <w:t>М</w:t>
      </w:r>
      <w:r w:rsidR="00EA73BF" w:rsidRPr="006B5A9A">
        <w:rPr>
          <w:sz w:val="24"/>
          <w:szCs w:val="24"/>
          <w:lang w:val="sr-Cyrl-RS"/>
        </w:rPr>
        <w:t>СП у поступцима јавних набавки.</w:t>
      </w:r>
    </w:p>
    <w:p w:rsidR="00D427CE" w:rsidRDefault="00D427CE" w:rsidP="00F73D96">
      <w:pPr>
        <w:spacing w:after="0"/>
        <w:ind w:firstLine="708"/>
        <w:jc w:val="both"/>
        <w:rPr>
          <w:sz w:val="24"/>
          <w:szCs w:val="24"/>
          <w:lang w:val="sr-Cyrl-RS"/>
        </w:rPr>
      </w:pPr>
    </w:p>
    <w:p w:rsidR="00D427CE" w:rsidRDefault="00D427CE" w:rsidP="00F73D96">
      <w:pPr>
        <w:spacing w:after="0"/>
        <w:ind w:firstLine="708"/>
        <w:jc w:val="both"/>
        <w:rPr>
          <w:sz w:val="24"/>
          <w:szCs w:val="24"/>
          <w:lang w:val="sr-Cyrl-RS"/>
        </w:rPr>
      </w:pPr>
    </w:p>
    <w:p w:rsidR="00D427CE" w:rsidRDefault="00D427CE" w:rsidP="00F73D96">
      <w:pPr>
        <w:spacing w:after="0"/>
        <w:ind w:firstLine="708"/>
        <w:jc w:val="both"/>
        <w:rPr>
          <w:sz w:val="24"/>
          <w:szCs w:val="24"/>
          <w:lang w:val="sr-Cyrl-RS"/>
        </w:rPr>
      </w:pPr>
    </w:p>
    <w:p w:rsidR="00D427CE" w:rsidRDefault="00D427CE" w:rsidP="00F73D96">
      <w:pPr>
        <w:spacing w:after="0"/>
        <w:ind w:firstLine="708"/>
        <w:jc w:val="both"/>
        <w:rPr>
          <w:sz w:val="24"/>
          <w:szCs w:val="24"/>
          <w:lang w:val="sr-Cyrl-RS"/>
        </w:rPr>
      </w:pPr>
    </w:p>
    <w:p w:rsidR="00D427CE" w:rsidRDefault="00D427CE" w:rsidP="00F73D96">
      <w:pPr>
        <w:spacing w:after="0"/>
        <w:ind w:firstLine="708"/>
        <w:jc w:val="both"/>
        <w:rPr>
          <w:sz w:val="24"/>
          <w:szCs w:val="24"/>
          <w:lang w:val="sr-Cyrl-RS"/>
        </w:rPr>
      </w:pPr>
    </w:p>
    <w:p w:rsidR="00D427CE" w:rsidRDefault="00D427CE" w:rsidP="00F73D96">
      <w:pPr>
        <w:spacing w:after="0"/>
        <w:ind w:firstLine="708"/>
        <w:jc w:val="both"/>
        <w:rPr>
          <w:sz w:val="24"/>
          <w:szCs w:val="24"/>
          <w:lang w:val="sr-Cyrl-RS"/>
        </w:rPr>
      </w:pPr>
    </w:p>
    <w:p w:rsidR="00D427CE" w:rsidRDefault="00D427CE" w:rsidP="00F73D96">
      <w:pPr>
        <w:spacing w:after="0"/>
        <w:ind w:firstLine="708"/>
        <w:jc w:val="both"/>
        <w:rPr>
          <w:sz w:val="24"/>
          <w:szCs w:val="24"/>
          <w:lang w:val="sr-Cyrl-RS"/>
        </w:rPr>
      </w:pPr>
    </w:p>
    <w:p w:rsidR="00D427CE" w:rsidRDefault="00D427CE" w:rsidP="00F73D96">
      <w:pPr>
        <w:spacing w:after="0"/>
        <w:ind w:firstLine="708"/>
        <w:jc w:val="both"/>
        <w:rPr>
          <w:sz w:val="24"/>
          <w:szCs w:val="24"/>
          <w:lang w:val="sr-Cyrl-RS"/>
        </w:rPr>
      </w:pPr>
    </w:p>
    <w:p w:rsidR="00D427CE" w:rsidRDefault="00D427CE" w:rsidP="00F73D96">
      <w:pPr>
        <w:spacing w:after="0"/>
        <w:ind w:firstLine="708"/>
        <w:jc w:val="both"/>
        <w:rPr>
          <w:sz w:val="24"/>
          <w:szCs w:val="24"/>
          <w:lang w:val="sr-Cyrl-RS"/>
        </w:rPr>
      </w:pPr>
    </w:p>
    <w:p w:rsidR="00D427CE" w:rsidRDefault="00D427CE" w:rsidP="00F73D96">
      <w:pPr>
        <w:spacing w:after="0"/>
        <w:ind w:firstLine="708"/>
        <w:jc w:val="both"/>
        <w:rPr>
          <w:sz w:val="24"/>
          <w:szCs w:val="24"/>
          <w:lang w:val="sr-Cyrl-RS"/>
        </w:rPr>
      </w:pPr>
    </w:p>
    <w:p w:rsidR="00D427CE" w:rsidRDefault="00D427CE" w:rsidP="00F73D96">
      <w:pPr>
        <w:spacing w:after="0"/>
        <w:ind w:firstLine="708"/>
        <w:jc w:val="both"/>
        <w:rPr>
          <w:sz w:val="24"/>
          <w:szCs w:val="24"/>
          <w:lang w:val="sr-Cyrl-RS"/>
        </w:rPr>
      </w:pPr>
    </w:p>
    <w:p w:rsidR="00D427CE" w:rsidRDefault="00D427CE" w:rsidP="00F73D96">
      <w:pPr>
        <w:spacing w:after="0"/>
        <w:ind w:firstLine="708"/>
        <w:jc w:val="both"/>
        <w:rPr>
          <w:sz w:val="24"/>
          <w:szCs w:val="24"/>
          <w:lang w:val="sr-Cyrl-RS"/>
        </w:rPr>
      </w:pPr>
    </w:p>
    <w:p w:rsidR="006E49A9" w:rsidRDefault="006E49A9" w:rsidP="008163DE">
      <w:pPr>
        <w:spacing w:after="0"/>
        <w:jc w:val="both"/>
        <w:rPr>
          <w:sz w:val="24"/>
          <w:szCs w:val="24"/>
          <w:lang w:val="sr-Cyrl-RS"/>
        </w:rPr>
      </w:pPr>
    </w:p>
    <w:p w:rsidR="0041612B" w:rsidRDefault="0041612B" w:rsidP="008163DE">
      <w:pPr>
        <w:spacing w:after="0"/>
        <w:jc w:val="both"/>
        <w:rPr>
          <w:sz w:val="24"/>
          <w:szCs w:val="24"/>
          <w:lang w:val="sr-Cyrl-RS"/>
        </w:rPr>
      </w:pPr>
    </w:p>
    <w:p w:rsidR="0041612B" w:rsidRPr="00805F26" w:rsidRDefault="0041612B" w:rsidP="008163DE">
      <w:pPr>
        <w:spacing w:after="0"/>
        <w:jc w:val="both"/>
        <w:rPr>
          <w:sz w:val="24"/>
          <w:szCs w:val="24"/>
          <w:lang w:val="sr-Cyrl-RS"/>
        </w:rPr>
      </w:pPr>
    </w:p>
    <w:p w:rsidR="0031557B" w:rsidRDefault="0031557B" w:rsidP="00EE08B0">
      <w:pPr>
        <w:spacing w:after="0"/>
        <w:ind w:firstLine="708"/>
        <w:jc w:val="both"/>
        <w:rPr>
          <w:b/>
          <w:sz w:val="24"/>
          <w:szCs w:val="24"/>
          <w:lang w:val="sr-Cyrl-RS"/>
        </w:rPr>
      </w:pPr>
    </w:p>
    <w:p w:rsidR="0031557B" w:rsidRDefault="0031557B" w:rsidP="00EE08B0">
      <w:pPr>
        <w:spacing w:after="0"/>
        <w:ind w:firstLine="708"/>
        <w:jc w:val="both"/>
        <w:rPr>
          <w:b/>
          <w:sz w:val="24"/>
          <w:szCs w:val="24"/>
          <w:lang w:val="sr-Cyrl-RS"/>
        </w:rPr>
      </w:pPr>
    </w:p>
    <w:p w:rsidR="00D427CE" w:rsidRPr="00D427CE" w:rsidRDefault="00D427CE" w:rsidP="00EE08B0">
      <w:pPr>
        <w:spacing w:after="0"/>
        <w:ind w:firstLine="708"/>
        <w:jc w:val="both"/>
        <w:rPr>
          <w:b/>
          <w:sz w:val="24"/>
          <w:szCs w:val="24"/>
          <w:lang w:val="sr-Cyrl-RS"/>
        </w:rPr>
      </w:pPr>
      <w:r w:rsidRPr="00D427CE">
        <w:rPr>
          <w:b/>
          <w:sz w:val="24"/>
          <w:szCs w:val="24"/>
          <w:lang w:val="sr-Cyrl-RS"/>
        </w:rPr>
        <w:t xml:space="preserve">2. Најчешћи проблеми и препреке за учествовање </w:t>
      </w:r>
      <w:r w:rsidR="00575828" w:rsidRPr="00575828">
        <w:rPr>
          <w:b/>
          <w:sz w:val="24"/>
          <w:szCs w:val="24"/>
          <w:lang w:val="sr-Cyrl-RS"/>
        </w:rPr>
        <w:t>М</w:t>
      </w:r>
      <w:r w:rsidR="00646A3D">
        <w:rPr>
          <w:b/>
          <w:sz w:val="24"/>
          <w:szCs w:val="24"/>
          <w:lang w:val="sr-Cyrl-RS"/>
        </w:rPr>
        <w:t>МС</w:t>
      </w:r>
      <w:r w:rsidR="00575828" w:rsidRPr="00575828">
        <w:rPr>
          <w:b/>
          <w:sz w:val="24"/>
          <w:szCs w:val="24"/>
          <w:lang w:val="sr-Cyrl-RS"/>
        </w:rPr>
        <w:t>П</w:t>
      </w:r>
      <w:r w:rsidRPr="00D427CE">
        <w:rPr>
          <w:b/>
          <w:sz w:val="24"/>
          <w:szCs w:val="24"/>
          <w:lang w:val="sr-Cyrl-RS"/>
        </w:rPr>
        <w:t xml:space="preserve"> у поступцима јавних набавки</w:t>
      </w:r>
    </w:p>
    <w:p w:rsidR="00D427CE" w:rsidRDefault="00D427CE" w:rsidP="00EE08B0">
      <w:pPr>
        <w:spacing w:after="0"/>
        <w:ind w:firstLine="708"/>
        <w:jc w:val="both"/>
        <w:rPr>
          <w:sz w:val="24"/>
          <w:szCs w:val="24"/>
          <w:lang w:val="sr-Cyrl-RS"/>
        </w:rPr>
      </w:pPr>
    </w:p>
    <w:p w:rsidR="001F3E6B" w:rsidRDefault="001F3E6B" w:rsidP="00EE08B0">
      <w:pPr>
        <w:spacing w:after="0"/>
        <w:ind w:firstLine="708"/>
        <w:jc w:val="both"/>
        <w:rPr>
          <w:sz w:val="24"/>
          <w:szCs w:val="24"/>
          <w:lang w:val="sr-Cyrl-RS"/>
        </w:rPr>
      </w:pPr>
      <w:r>
        <w:rPr>
          <w:sz w:val="24"/>
          <w:szCs w:val="24"/>
          <w:lang w:val="sr-Cyrl-RS"/>
        </w:rPr>
        <w:t>Поступци ја</w:t>
      </w:r>
      <w:r w:rsidR="00A16450">
        <w:rPr>
          <w:sz w:val="24"/>
          <w:szCs w:val="24"/>
          <w:lang w:val="sr-Cyrl-RS"/>
        </w:rPr>
        <w:t xml:space="preserve">вних набавки су врло комплексни, те се због тога могу појавити потешкоће за </w:t>
      </w:r>
      <w:r w:rsidR="00575828" w:rsidRPr="00575828">
        <w:rPr>
          <w:sz w:val="24"/>
          <w:szCs w:val="24"/>
          <w:lang w:val="sr-Cyrl-RS"/>
        </w:rPr>
        <w:t>М</w:t>
      </w:r>
      <w:r w:rsidR="0041612B">
        <w:rPr>
          <w:sz w:val="24"/>
          <w:szCs w:val="24"/>
          <w:lang w:val="sr-Cyrl-RS"/>
        </w:rPr>
        <w:t>МС</w:t>
      </w:r>
      <w:r w:rsidR="00575828" w:rsidRPr="00575828">
        <w:rPr>
          <w:sz w:val="24"/>
          <w:szCs w:val="24"/>
          <w:lang w:val="sr-Cyrl-RS"/>
        </w:rPr>
        <w:t>П</w:t>
      </w:r>
      <w:r w:rsidR="00A16450">
        <w:rPr>
          <w:sz w:val="24"/>
          <w:szCs w:val="24"/>
          <w:lang w:val="sr-Cyrl-RS"/>
        </w:rPr>
        <w:t xml:space="preserve"> у разумевању самих процедура прописаних Законом о јавним набавкама („С</w:t>
      </w:r>
      <w:r w:rsidR="0041612B">
        <w:rPr>
          <w:sz w:val="24"/>
          <w:szCs w:val="24"/>
          <w:lang w:val="sr-Cyrl-RS"/>
        </w:rPr>
        <w:t>лужбени гласник РС“ бр. 124/12,</w:t>
      </w:r>
      <w:r w:rsidR="00A16450">
        <w:rPr>
          <w:sz w:val="24"/>
          <w:szCs w:val="24"/>
          <w:lang w:val="sr-Cyrl-RS"/>
        </w:rPr>
        <w:t xml:space="preserve"> 14/15</w:t>
      </w:r>
      <w:r w:rsidR="0041612B">
        <w:rPr>
          <w:sz w:val="24"/>
          <w:szCs w:val="24"/>
          <w:lang w:val="sr-Cyrl-RS"/>
        </w:rPr>
        <w:t xml:space="preserve"> и 68/15</w:t>
      </w:r>
      <w:r w:rsidR="00A16450">
        <w:rPr>
          <w:sz w:val="24"/>
          <w:szCs w:val="24"/>
          <w:lang w:val="sr-Cyrl-RS"/>
        </w:rPr>
        <w:t xml:space="preserve">, у даљем тексту: ЗЈН). </w:t>
      </w:r>
      <w:r w:rsidR="008163DE">
        <w:rPr>
          <w:sz w:val="24"/>
          <w:szCs w:val="24"/>
          <w:lang w:val="sr-Cyrl-RS"/>
        </w:rPr>
        <w:t>Такође, и неки други п</w:t>
      </w:r>
      <w:r w:rsidR="00AA799B">
        <w:rPr>
          <w:sz w:val="24"/>
          <w:szCs w:val="24"/>
          <w:lang w:val="sr-Cyrl-RS"/>
        </w:rPr>
        <w:t xml:space="preserve">роблеми </w:t>
      </w:r>
      <w:r w:rsidR="008163DE">
        <w:rPr>
          <w:sz w:val="24"/>
          <w:szCs w:val="24"/>
          <w:lang w:val="sr-Cyrl-RS"/>
        </w:rPr>
        <w:t xml:space="preserve">могу представљати велике препреке </w:t>
      </w:r>
      <w:r w:rsidR="00575828" w:rsidRPr="00575828">
        <w:rPr>
          <w:sz w:val="24"/>
          <w:szCs w:val="24"/>
          <w:lang w:val="sr-Cyrl-RS"/>
        </w:rPr>
        <w:t>М</w:t>
      </w:r>
      <w:r w:rsidR="0041612B">
        <w:rPr>
          <w:sz w:val="24"/>
          <w:szCs w:val="24"/>
          <w:lang w:val="sr-Cyrl-RS"/>
        </w:rPr>
        <w:t>МС</w:t>
      </w:r>
      <w:r w:rsidR="00575828" w:rsidRPr="00575828">
        <w:rPr>
          <w:sz w:val="24"/>
          <w:szCs w:val="24"/>
          <w:lang w:val="sr-Cyrl-RS"/>
        </w:rPr>
        <w:t xml:space="preserve">П </w:t>
      </w:r>
      <w:r w:rsidR="00D427CE">
        <w:rPr>
          <w:sz w:val="24"/>
          <w:szCs w:val="24"/>
          <w:lang w:val="sr-Cyrl-RS"/>
        </w:rPr>
        <w:t>за учествовање у поступцима</w:t>
      </w:r>
      <w:r w:rsidR="008163DE">
        <w:rPr>
          <w:sz w:val="24"/>
          <w:szCs w:val="24"/>
          <w:lang w:val="sr-Cyrl-RS"/>
        </w:rPr>
        <w:t xml:space="preserve">. </w:t>
      </w:r>
      <w:r w:rsidR="0041612B">
        <w:rPr>
          <w:sz w:val="24"/>
          <w:szCs w:val="24"/>
          <w:lang w:val="sr-Cyrl-RS"/>
        </w:rPr>
        <w:t>Најчешће могући</w:t>
      </w:r>
      <w:r w:rsidR="008163DE">
        <w:rPr>
          <w:sz w:val="24"/>
          <w:szCs w:val="24"/>
          <w:lang w:val="sr-Cyrl-RS"/>
        </w:rPr>
        <w:t xml:space="preserve"> проблеми су</w:t>
      </w:r>
      <w:r w:rsidR="00AA799B">
        <w:rPr>
          <w:sz w:val="24"/>
          <w:szCs w:val="24"/>
          <w:lang w:val="sr-Cyrl-RS"/>
        </w:rPr>
        <w:t>:</w:t>
      </w:r>
    </w:p>
    <w:p w:rsidR="006B5A9A" w:rsidRDefault="006B5A9A"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r w:rsidRPr="00D427CE">
        <w:rPr>
          <w:noProof/>
          <w:sz w:val="24"/>
          <w:szCs w:val="24"/>
          <w:lang w:val="sr-Cyrl-ME" w:eastAsia="sr-Cyrl-ME"/>
        </w:rPr>
        <mc:AlternateContent>
          <mc:Choice Requires="wps">
            <w:drawing>
              <wp:anchor distT="0" distB="0" distL="114300" distR="114300" simplePos="0" relativeHeight="251659264" behindDoc="0" locked="0" layoutInCell="1" allowOverlap="1" wp14:anchorId="4D76F4ED" wp14:editId="679F00E3">
                <wp:simplePos x="0" y="0"/>
                <wp:positionH relativeFrom="column">
                  <wp:posOffset>126748</wp:posOffset>
                </wp:positionH>
                <wp:positionV relativeFrom="paragraph">
                  <wp:posOffset>73360</wp:posOffset>
                </wp:positionV>
                <wp:extent cx="5822831" cy="3942272"/>
                <wp:effectExtent l="57150" t="38100" r="83185" b="965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831" cy="3942272"/>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7272DF" w:rsidRPr="003252B5" w:rsidRDefault="007272DF" w:rsidP="003252B5">
                            <w:pPr>
                              <w:spacing w:after="0"/>
                              <w:jc w:val="both"/>
                              <w:rPr>
                                <w:i/>
                                <w:sz w:val="24"/>
                                <w:szCs w:val="24"/>
                                <w:lang w:val="sr-Cyrl-RS"/>
                              </w:rPr>
                            </w:pPr>
                            <w:r w:rsidRPr="003252B5">
                              <w:rPr>
                                <w:i/>
                                <w:sz w:val="24"/>
                                <w:szCs w:val="24"/>
                                <w:lang w:val="sr-Cyrl-RS"/>
                              </w:rPr>
                              <w:t xml:space="preserve">- уговори велике вредности и немогућност испуњења додатних услова који се односе на неопходне капацитете (финансијски, пословни, технички и </w:t>
                            </w:r>
                            <w:r w:rsidR="0078680C">
                              <w:rPr>
                                <w:i/>
                                <w:sz w:val="24"/>
                                <w:szCs w:val="24"/>
                                <w:lang w:val="sr-Cyrl-RS"/>
                              </w:rPr>
                              <w:t>кадровски</w:t>
                            </w:r>
                            <w:r w:rsidRPr="003252B5">
                              <w:rPr>
                                <w:i/>
                                <w:sz w:val="24"/>
                                <w:szCs w:val="24"/>
                                <w:lang w:val="sr-Cyrl-RS"/>
                              </w:rPr>
                              <w:t>)</w:t>
                            </w:r>
                            <w:r>
                              <w:rPr>
                                <w:i/>
                                <w:sz w:val="24"/>
                                <w:szCs w:val="24"/>
                              </w:rPr>
                              <w:t>,</w:t>
                            </w:r>
                            <w:r w:rsidRPr="00050FD8">
                              <w:t xml:space="preserve"> </w:t>
                            </w:r>
                            <w:r w:rsidRPr="00050FD8">
                              <w:rPr>
                                <w:i/>
                                <w:sz w:val="24"/>
                                <w:szCs w:val="24"/>
                                <w:lang w:val="sr-Cyrl-RS"/>
                              </w:rPr>
                              <w:t>привремено затварање тржишта кроз „оквирне споразуме“;</w:t>
                            </w:r>
                          </w:p>
                          <w:p w:rsidR="007272DF" w:rsidRPr="003252B5" w:rsidRDefault="007272DF" w:rsidP="003252B5">
                            <w:pPr>
                              <w:spacing w:after="0"/>
                              <w:jc w:val="both"/>
                              <w:rPr>
                                <w:i/>
                                <w:sz w:val="24"/>
                                <w:szCs w:val="24"/>
                                <w:lang w:val="sr-Cyrl-RS"/>
                              </w:rPr>
                            </w:pPr>
                          </w:p>
                          <w:p w:rsidR="007272DF" w:rsidRDefault="007272DF" w:rsidP="003252B5">
                            <w:pPr>
                              <w:spacing w:after="0"/>
                              <w:jc w:val="both"/>
                              <w:rPr>
                                <w:i/>
                                <w:sz w:val="24"/>
                                <w:szCs w:val="24"/>
                                <w:lang w:val="sr-Cyrl-RS"/>
                              </w:rPr>
                            </w:pPr>
                            <w:r w:rsidRPr="003252B5">
                              <w:rPr>
                                <w:i/>
                                <w:sz w:val="24"/>
                                <w:szCs w:val="24"/>
                                <w:lang w:val="sr-Cyrl-RS"/>
                              </w:rPr>
                              <w:t xml:space="preserve">- </w:t>
                            </w:r>
                            <w:r>
                              <w:rPr>
                                <w:i/>
                                <w:sz w:val="24"/>
                                <w:szCs w:val="24"/>
                                <w:lang w:val="sr-Cyrl-RS"/>
                              </w:rPr>
                              <w:t xml:space="preserve">недостатак информација и </w:t>
                            </w:r>
                            <w:r w:rsidRPr="00050FD8">
                              <w:rPr>
                                <w:i/>
                                <w:sz w:val="24"/>
                                <w:szCs w:val="24"/>
                              </w:rPr>
                              <w:t>недовољ</w:t>
                            </w:r>
                            <w:r>
                              <w:rPr>
                                <w:i/>
                                <w:sz w:val="24"/>
                                <w:szCs w:val="24"/>
                              </w:rPr>
                              <w:t>но комуникације са наручиоцима</w:t>
                            </w:r>
                            <w:r>
                              <w:rPr>
                                <w:i/>
                                <w:sz w:val="24"/>
                                <w:szCs w:val="24"/>
                                <w:lang w:val="sr-Cyrl-RS"/>
                              </w:rPr>
                              <w:t>;</w:t>
                            </w:r>
                          </w:p>
                          <w:p w:rsidR="007272DF" w:rsidRDefault="007272DF" w:rsidP="003252B5">
                            <w:pPr>
                              <w:spacing w:after="0"/>
                              <w:jc w:val="both"/>
                              <w:rPr>
                                <w:i/>
                                <w:sz w:val="24"/>
                                <w:szCs w:val="24"/>
                                <w:lang w:val="sr-Cyrl-RS"/>
                              </w:rPr>
                            </w:pPr>
                          </w:p>
                          <w:p w:rsidR="007272DF" w:rsidRPr="004E3FA8" w:rsidRDefault="007272DF" w:rsidP="003252B5">
                            <w:pPr>
                              <w:spacing w:after="0"/>
                              <w:jc w:val="both"/>
                              <w:rPr>
                                <w:i/>
                                <w:sz w:val="24"/>
                                <w:szCs w:val="24"/>
                                <w:lang w:val="sr-Cyrl-RS"/>
                              </w:rPr>
                            </w:pPr>
                            <w:r w:rsidRPr="00697278">
                              <w:rPr>
                                <w:i/>
                                <w:sz w:val="24"/>
                                <w:szCs w:val="24"/>
                                <w:lang w:val="sr-Cyrl-RS"/>
                              </w:rPr>
                              <w:t>- кратак рок за припрему понуде</w:t>
                            </w:r>
                            <w:r w:rsidR="00341340">
                              <w:rPr>
                                <w:i/>
                                <w:sz w:val="24"/>
                                <w:szCs w:val="24"/>
                                <w:lang w:val="sr-Cyrl-RS"/>
                              </w:rPr>
                              <w:t xml:space="preserve"> код нарочито сложених набавки</w:t>
                            </w:r>
                            <w:r w:rsidRPr="00697278">
                              <w:rPr>
                                <w:i/>
                                <w:sz w:val="24"/>
                                <w:szCs w:val="24"/>
                                <w:lang w:val="sr-Cyrl-RS"/>
                              </w:rPr>
                              <w:t>;</w:t>
                            </w:r>
                          </w:p>
                          <w:p w:rsidR="007272DF" w:rsidRDefault="007272DF" w:rsidP="003252B5">
                            <w:pPr>
                              <w:spacing w:after="0"/>
                              <w:jc w:val="both"/>
                              <w:rPr>
                                <w:i/>
                                <w:sz w:val="24"/>
                                <w:szCs w:val="24"/>
                                <w:lang w:val="sr-Cyrl-RS"/>
                              </w:rPr>
                            </w:pPr>
                          </w:p>
                          <w:p w:rsidR="007272DF" w:rsidRPr="00697278" w:rsidRDefault="007272DF" w:rsidP="003252B5">
                            <w:pPr>
                              <w:spacing w:after="0"/>
                              <w:jc w:val="both"/>
                              <w:rPr>
                                <w:i/>
                                <w:sz w:val="24"/>
                                <w:szCs w:val="24"/>
                                <w:lang w:val="sr-Cyrl-RS"/>
                              </w:rPr>
                            </w:pPr>
                            <w:r>
                              <w:rPr>
                                <w:i/>
                                <w:sz w:val="24"/>
                                <w:szCs w:val="24"/>
                                <w:lang w:val="sr-Cyrl-RS"/>
                              </w:rPr>
                              <w:t xml:space="preserve">- </w:t>
                            </w:r>
                            <w:r w:rsidRPr="00050FD8">
                              <w:rPr>
                                <w:i/>
                                <w:sz w:val="24"/>
                                <w:szCs w:val="24"/>
                              </w:rPr>
                              <w:t>недостата</w:t>
                            </w:r>
                            <w:r>
                              <w:rPr>
                                <w:i/>
                                <w:sz w:val="24"/>
                                <w:szCs w:val="24"/>
                              </w:rPr>
                              <w:t>к потребног знања о процедурама</w:t>
                            </w:r>
                            <w:r>
                              <w:rPr>
                                <w:i/>
                                <w:sz w:val="24"/>
                                <w:szCs w:val="24"/>
                                <w:lang w:val="sr-Cyrl-RS"/>
                              </w:rPr>
                              <w:t xml:space="preserve"> и </w:t>
                            </w:r>
                            <w:r w:rsidRPr="00697278">
                              <w:rPr>
                                <w:i/>
                                <w:sz w:val="24"/>
                                <w:szCs w:val="24"/>
                                <w:lang w:val="sr-Cyrl-RS"/>
                              </w:rPr>
                              <w:t>искуства у учествовању у поступцима јавне набавке</w:t>
                            </w:r>
                          </w:p>
                          <w:p w:rsidR="007272DF" w:rsidRPr="00697278" w:rsidRDefault="007272DF" w:rsidP="003252B5">
                            <w:pPr>
                              <w:spacing w:after="0"/>
                              <w:jc w:val="both"/>
                              <w:rPr>
                                <w:i/>
                                <w:sz w:val="24"/>
                                <w:szCs w:val="24"/>
                                <w:lang w:val="sr-Cyrl-RS"/>
                              </w:rPr>
                            </w:pPr>
                          </w:p>
                          <w:p w:rsidR="007272DF" w:rsidRPr="00050FD8" w:rsidRDefault="007272DF" w:rsidP="003252B5">
                            <w:pPr>
                              <w:spacing w:after="0"/>
                              <w:jc w:val="both"/>
                              <w:rPr>
                                <w:i/>
                                <w:sz w:val="24"/>
                                <w:szCs w:val="24"/>
                              </w:rPr>
                            </w:pPr>
                            <w:r w:rsidRPr="003252B5">
                              <w:rPr>
                                <w:i/>
                                <w:sz w:val="24"/>
                                <w:szCs w:val="24"/>
                                <w:lang w:val="sr-Cyrl-RS"/>
                              </w:rPr>
                              <w:t>- давање предности најниже понуђеној цени у односу на критеријум економски најповољнија понуда;</w:t>
                            </w:r>
                          </w:p>
                          <w:p w:rsidR="007272DF" w:rsidRPr="003252B5" w:rsidRDefault="007272DF" w:rsidP="003252B5">
                            <w:pPr>
                              <w:spacing w:after="0"/>
                              <w:jc w:val="both"/>
                              <w:rPr>
                                <w:i/>
                                <w:sz w:val="24"/>
                                <w:szCs w:val="24"/>
                                <w:lang w:val="sr-Cyrl-RS"/>
                              </w:rPr>
                            </w:pPr>
                          </w:p>
                          <w:p w:rsidR="007272DF" w:rsidRPr="003252B5" w:rsidRDefault="007272DF" w:rsidP="003252B5">
                            <w:pPr>
                              <w:spacing w:after="0"/>
                              <w:jc w:val="both"/>
                              <w:rPr>
                                <w:i/>
                                <w:sz w:val="24"/>
                                <w:szCs w:val="24"/>
                                <w:lang w:val="sr-Cyrl-RS"/>
                              </w:rPr>
                            </w:pPr>
                            <w:r w:rsidRPr="003252B5">
                              <w:rPr>
                                <w:i/>
                                <w:sz w:val="24"/>
                                <w:szCs w:val="24"/>
                                <w:lang w:val="sr-Cyrl-RS"/>
                              </w:rPr>
                              <w:t>- непотребна админисистративна оптерећења;</w:t>
                            </w:r>
                          </w:p>
                          <w:p w:rsidR="007272DF" w:rsidRPr="003252B5" w:rsidRDefault="007272DF" w:rsidP="003252B5">
                            <w:pPr>
                              <w:spacing w:after="0"/>
                              <w:jc w:val="both"/>
                              <w:rPr>
                                <w:i/>
                                <w:sz w:val="24"/>
                                <w:szCs w:val="24"/>
                                <w:lang w:val="sr-Cyrl-RS"/>
                              </w:rPr>
                            </w:pPr>
                          </w:p>
                          <w:p w:rsidR="007272DF" w:rsidRPr="00697278" w:rsidRDefault="007272DF" w:rsidP="003252B5">
                            <w:pPr>
                              <w:spacing w:after="0"/>
                              <w:jc w:val="both"/>
                              <w:rPr>
                                <w:i/>
                                <w:sz w:val="24"/>
                                <w:szCs w:val="24"/>
                                <w:lang w:val="sr-Cyrl-RS"/>
                              </w:rPr>
                            </w:pPr>
                            <w:r w:rsidRPr="003252B5">
                              <w:rPr>
                                <w:i/>
                                <w:sz w:val="24"/>
                                <w:szCs w:val="24"/>
                                <w:lang w:val="sr-Cyrl-RS"/>
                              </w:rPr>
                              <w:t>-</w:t>
                            </w:r>
                            <w:r>
                              <w:rPr>
                                <w:i/>
                                <w:sz w:val="24"/>
                                <w:szCs w:val="24"/>
                                <w:lang w:val="sr-Cyrl-RS"/>
                              </w:rPr>
                              <w:t xml:space="preserve"> кашњење у плаћању</w:t>
                            </w:r>
                            <w:r w:rsidRPr="003252B5">
                              <w:rPr>
                                <w:i/>
                                <w:sz w:val="24"/>
                                <w:szCs w:val="24"/>
                                <w:lang w:val="sr-Cyrl-RS"/>
                              </w:rPr>
                              <w:t xml:space="preserve"> </w:t>
                            </w:r>
                            <w:r>
                              <w:rPr>
                                <w:i/>
                                <w:sz w:val="24"/>
                                <w:szCs w:val="24"/>
                                <w:lang w:val="sr-Cyrl-RS"/>
                              </w:rPr>
                              <w:t>или неплаћање за извршени посао</w:t>
                            </w:r>
                            <w:r>
                              <w:rPr>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5.8pt;width:458.5pt;height:3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" fillcolor="#dfa7a6 [1621]" strokecolor="#bc4542 [3045]">
                <v:fill color2="#f5e4e4 [501]" rotate="t" angle="180" colors="0 #ffa2a1;22938f #ffbebd;1 #ffe5e5" focus="100%" type="gradient"/>
                <v:shadow on="t" color="black" opacity="24903f" origin=",.5" offset="0,.55556mm"/>
                <v:textbox>
                  <w:txbxContent>
                    <w:p w:rsidR="007272DF" w:rsidRPr="003252B5" w:rsidRDefault="007272DF" w:rsidP="003252B5">
                      <w:pPr>
                        <w:spacing w:after="0"/>
                        <w:jc w:val="both"/>
                        <w:rPr>
                          <w:i/>
                          <w:sz w:val="24"/>
                          <w:szCs w:val="24"/>
                          <w:lang w:val="sr-Cyrl-RS"/>
                        </w:rPr>
                      </w:pPr>
                      <w:r w:rsidRPr="003252B5">
                        <w:rPr>
                          <w:i/>
                          <w:sz w:val="24"/>
                          <w:szCs w:val="24"/>
                          <w:lang w:val="sr-Cyrl-RS"/>
                        </w:rPr>
                        <w:t xml:space="preserve">- уговори велике вредности и немогућност испуњења додатних услова који се односе на неопходне капацитете (финансијски, пословни, технички и </w:t>
                      </w:r>
                      <w:r w:rsidR="0078680C">
                        <w:rPr>
                          <w:i/>
                          <w:sz w:val="24"/>
                          <w:szCs w:val="24"/>
                          <w:lang w:val="sr-Cyrl-RS"/>
                        </w:rPr>
                        <w:t>кадровски</w:t>
                      </w:r>
                      <w:r w:rsidRPr="003252B5">
                        <w:rPr>
                          <w:i/>
                          <w:sz w:val="24"/>
                          <w:szCs w:val="24"/>
                          <w:lang w:val="sr-Cyrl-RS"/>
                        </w:rPr>
                        <w:t>)</w:t>
                      </w:r>
                      <w:r>
                        <w:rPr>
                          <w:i/>
                          <w:sz w:val="24"/>
                          <w:szCs w:val="24"/>
                        </w:rPr>
                        <w:t>,</w:t>
                      </w:r>
                      <w:r w:rsidRPr="00050FD8">
                        <w:t xml:space="preserve"> </w:t>
                      </w:r>
                      <w:r w:rsidRPr="00050FD8">
                        <w:rPr>
                          <w:i/>
                          <w:sz w:val="24"/>
                          <w:szCs w:val="24"/>
                          <w:lang w:val="sr-Cyrl-RS"/>
                        </w:rPr>
                        <w:t>привремено затварање тржишта кроз „оквирне споразуме“;</w:t>
                      </w:r>
                    </w:p>
                    <w:p w:rsidR="007272DF" w:rsidRPr="003252B5" w:rsidRDefault="007272DF" w:rsidP="003252B5">
                      <w:pPr>
                        <w:spacing w:after="0"/>
                        <w:jc w:val="both"/>
                        <w:rPr>
                          <w:i/>
                          <w:sz w:val="24"/>
                          <w:szCs w:val="24"/>
                          <w:lang w:val="sr-Cyrl-RS"/>
                        </w:rPr>
                      </w:pPr>
                    </w:p>
                    <w:p w:rsidR="007272DF" w:rsidRDefault="007272DF" w:rsidP="003252B5">
                      <w:pPr>
                        <w:spacing w:after="0"/>
                        <w:jc w:val="both"/>
                        <w:rPr>
                          <w:i/>
                          <w:sz w:val="24"/>
                          <w:szCs w:val="24"/>
                          <w:lang w:val="sr-Cyrl-RS"/>
                        </w:rPr>
                      </w:pPr>
                      <w:r w:rsidRPr="003252B5">
                        <w:rPr>
                          <w:i/>
                          <w:sz w:val="24"/>
                          <w:szCs w:val="24"/>
                          <w:lang w:val="sr-Cyrl-RS"/>
                        </w:rPr>
                        <w:t xml:space="preserve">- </w:t>
                      </w:r>
                      <w:r>
                        <w:rPr>
                          <w:i/>
                          <w:sz w:val="24"/>
                          <w:szCs w:val="24"/>
                          <w:lang w:val="sr-Cyrl-RS"/>
                        </w:rPr>
                        <w:t xml:space="preserve">недостатак информација и </w:t>
                      </w:r>
                      <w:r w:rsidRPr="00050FD8">
                        <w:rPr>
                          <w:i/>
                          <w:sz w:val="24"/>
                          <w:szCs w:val="24"/>
                        </w:rPr>
                        <w:t>недовољ</w:t>
                      </w:r>
                      <w:r>
                        <w:rPr>
                          <w:i/>
                          <w:sz w:val="24"/>
                          <w:szCs w:val="24"/>
                        </w:rPr>
                        <w:t>но комуникације са наручиоцима</w:t>
                      </w:r>
                      <w:r>
                        <w:rPr>
                          <w:i/>
                          <w:sz w:val="24"/>
                          <w:szCs w:val="24"/>
                          <w:lang w:val="sr-Cyrl-RS"/>
                        </w:rPr>
                        <w:t>;</w:t>
                      </w:r>
                    </w:p>
                    <w:p w:rsidR="007272DF" w:rsidRDefault="007272DF" w:rsidP="003252B5">
                      <w:pPr>
                        <w:spacing w:after="0"/>
                        <w:jc w:val="both"/>
                        <w:rPr>
                          <w:i/>
                          <w:sz w:val="24"/>
                          <w:szCs w:val="24"/>
                          <w:lang w:val="sr-Cyrl-RS"/>
                        </w:rPr>
                      </w:pPr>
                    </w:p>
                    <w:p w:rsidR="007272DF" w:rsidRPr="004E3FA8" w:rsidRDefault="007272DF" w:rsidP="003252B5">
                      <w:pPr>
                        <w:spacing w:after="0"/>
                        <w:jc w:val="both"/>
                        <w:rPr>
                          <w:i/>
                          <w:sz w:val="24"/>
                          <w:szCs w:val="24"/>
                          <w:lang w:val="sr-Cyrl-RS"/>
                        </w:rPr>
                      </w:pPr>
                      <w:r w:rsidRPr="00697278">
                        <w:rPr>
                          <w:i/>
                          <w:sz w:val="24"/>
                          <w:szCs w:val="24"/>
                          <w:lang w:val="sr-Cyrl-RS"/>
                        </w:rPr>
                        <w:t>- кратак рок за припрему понуде</w:t>
                      </w:r>
                      <w:r w:rsidR="00341340">
                        <w:rPr>
                          <w:i/>
                          <w:sz w:val="24"/>
                          <w:szCs w:val="24"/>
                          <w:lang w:val="sr-Cyrl-RS"/>
                        </w:rPr>
                        <w:t xml:space="preserve"> код нарочито сложених набавки</w:t>
                      </w:r>
                      <w:r w:rsidRPr="00697278">
                        <w:rPr>
                          <w:i/>
                          <w:sz w:val="24"/>
                          <w:szCs w:val="24"/>
                          <w:lang w:val="sr-Cyrl-RS"/>
                        </w:rPr>
                        <w:t>;</w:t>
                      </w:r>
                    </w:p>
                    <w:p w:rsidR="007272DF" w:rsidRDefault="007272DF" w:rsidP="003252B5">
                      <w:pPr>
                        <w:spacing w:after="0"/>
                        <w:jc w:val="both"/>
                        <w:rPr>
                          <w:i/>
                          <w:sz w:val="24"/>
                          <w:szCs w:val="24"/>
                          <w:lang w:val="sr-Cyrl-RS"/>
                        </w:rPr>
                      </w:pPr>
                    </w:p>
                    <w:p w:rsidR="007272DF" w:rsidRPr="00697278" w:rsidRDefault="007272DF" w:rsidP="003252B5">
                      <w:pPr>
                        <w:spacing w:after="0"/>
                        <w:jc w:val="both"/>
                        <w:rPr>
                          <w:i/>
                          <w:sz w:val="24"/>
                          <w:szCs w:val="24"/>
                          <w:lang w:val="sr-Cyrl-RS"/>
                        </w:rPr>
                      </w:pPr>
                      <w:r>
                        <w:rPr>
                          <w:i/>
                          <w:sz w:val="24"/>
                          <w:szCs w:val="24"/>
                          <w:lang w:val="sr-Cyrl-RS"/>
                        </w:rPr>
                        <w:t xml:space="preserve">- </w:t>
                      </w:r>
                      <w:r w:rsidRPr="00050FD8">
                        <w:rPr>
                          <w:i/>
                          <w:sz w:val="24"/>
                          <w:szCs w:val="24"/>
                        </w:rPr>
                        <w:t>недостата</w:t>
                      </w:r>
                      <w:r>
                        <w:rPr>
                          <w:i/>
                          <w:sz w:val="24"/>
                          <w:szCs w:val="24"/>
                        </w:rPr>
                        <w:t>к потребног знања о процедурама</w:t>
                      </w:r>
                      <w:r>
                        <w:rPr>
                          <w:i/>
                          <w:sz w:val="24"/>
                          <w:szCs w:val="24"/>
                          <w:lang w:val="sr-Cyrl-RS"/>
                        </w:rPr>
                        <w:t xml:space="preserve"> и </w:t>
                      </w:r>
                      <w:r w:rsidRPr="00697278">
                        <w:rPr>
                          <w:i/>
                          <w:sz w:val="24"/>
                          <w:szCs w:val="24"/>
                          <w:lang w:val="sr-Cyrl-RS"/>
                        </w:rPr>
                        <w:t>искуства у учествовању у поступцима јавне набавке</w:t>
                      </w:r>
                    </w:p>
                    <w:p w:rsidR="007272DF" w:rsidRPr="00697278" w:rsidRDefault="007272DF" w:rsidP="003252B5">
                      <w:pPr>
                        <w:spacing w:after="0"/>
                        <w:jc w:val="both"/>
                        <w:rPr>
                          <w:i/>
                          <w:sz w:val="24"/>
                          <w:szCs w:val="24"/>
                          <w:lang w:val="sr-Cyrl-RS"/>
                        </w:rPr>
                      </w:pPr>
                    </w:p>
                    <w:p w:rsidR="007272DF" w:rsidRPr="00050FD8" w:rsidRDefault="007272DF" w:rsidP="003252B5">
                      <w:pPr>
                        <w:spacing w:after="0"/>
                        <w:jc w:val="both"/>
                        <w:rPr>
                          <w:i/>
                          <w:sz w:val="24"/>
                          <w:szCs w:val="24"/>
                        </w:rPr>
                      </w:pPr>
                      <w:r w:rsidRPr="003252B5">
                        <w:rPr>
                          <w:i/>
                          <w:sz w:val="24"/>
                          <w:szCs w:val="24"/>
                          <w:lang w:val="sr-Cyrl-RS"/>
                        </w:rPr>
                        <w:t>- давање предности најниже понуђеној цени у односу на критеријум економски најповољнија понуда;</w:t>
                      </w:r>
                    </w:p>
                    <w:p w:rsidR="007272DF" w:rsidRPr="003252B5" w:rsidRDefault="007272DF" w:rsidP="003252B5">
                      <w:pPr>
                        <w:spacing w:after="0"/>
                        <w:jc w:val="both"/>
                        <w:rPr>
                          <w:i/>
                          <w:sz w:val="24"/>
                          <w:szCs w:val="24"/>
                          <w:lang w:val="sr-Cyrl-RS"/>
                        </w:rPr>
                      </w:pPr>
                    </w:p>
                    <w:p w:rsidR="007272DF" w:rsidRPr="003252B5" w:rsidRDefault="007272DF" w:rsidP="003252B5">
                      <w:pPr>
                        <w:spacing w:after="0"/>
                        <w:jc w:val="both"/>
                        <w:rPr>
                          <w:i/>
                          <w:sz w:val="24"/>
                          <w:szCs w:val="24"/>
                          <w:lang w:val="sr-Cyrl-RS"/>
                        </w:rPr>
                      </w:pPr>
                      <w:r w:rsidRPr="003252B5">
                        <w:rPr>
                          <w:i/>
                          <w:sz w:val="24"/>
                          <w:szCs w:val="24"/>
                          <w:lang w:val="sr-Cyrl-RS"/>
                        </w:rPr>
                        <w:t>- непотребна админисистративна оптерећења;</w:t>
                      </w:r>
                    </w:p>
                    <w:p w:rsidR="007272DF" w:rsidRPr="003252B5" w:rsidRDefault="007272DF" w:rsidP="003252B5">
                      <w:pPr>
                        <w:spacing w:after="0"/>
                        <w:jc w:val="both"/>
                        <w:rPr>
                          <w:i/>
                          <w:sz w:val="24"/>
                          <w:szCs w:val="24"/>
                          <w:lang w:val="sr-Cyrl-RS"/>
                        </w:rPr>
                      </w:pPr>
                    </w:p>
                    <w:p w:rsidR="007272DF" w:rsidRPr="00697278" w:rsidRDefault="007272DF" w:rsidP="003252B5">
                      <w:pPr>
                        <w:spacing w:after="0"/>
                        <w:jc w:val="both"/>
                        <w:rPr>
                          <w:i/>
                          <w:sz w:val="24"/>
                          <w:szCs w:val="24"/>
                          <w:lang w:val="sr-Cyrl-RS"/>
                        </w:rPr>
                      </w:pPr>
                      <w:r w:rsidRPr="003252B5">
                        <w:rPr>
                          <w:i/>
                          <w:sz w:val="24"/>
                          <w:szCs w:val="24"/>
                          <w:lang w:val="sr-Cyrl-RS"/>
                        </w:rPr>
                        <w:t>-</w:t>
                      </w:r>
                      <w:r>
                        <w:rPr>
                          <w:i/>
                          <w:sz w:val="24"/>
                          <w:szCs w:val="24"/>
                          <w:lang w:val="sr-Cyrl-RS"/>
                        </w:rPr>
                        <w:t xml:space="preserve"> кашњење у плаћању</w:t>
                      </w:r>
                      <w:r w:rsidRPr="003252B5">
                        <w:rPr>
                          <w:i/>
                          <w:sz w:val="24"/>
                          <w:szCs w:val="24"/>
                          <w:lang w:val="sr-Cyrl-RS"/>
                        </w:rPr>
                        <w:t xml:space="preserve"> </w:t>
                      </w:r>
                      <w:r>
                        <w:rPr>
                          <w:i/>
                          <w:sz w:val="24"/>
                          <w:szCs w:val="24"/>
                          <w:lang w:val="sr-Cyrl-RS"/>
                        </w:rPr>
                        <w:t>или неплаћање за извршени посао</w:t>
                      </w:r>
                      <w:r>
                        <w:rPr>
                          <w:i/>
                          <w:sz w:val="24"/>
                          <w:szCs w:val="24"/>
                        </w:rPr>
                        <w:t>.</w:t>
                      </w:r>
                    </w:p>
                  </w:txbxContent>
                </v:textbox>
              </v:shape>
            </w:pict>
          </mc:Fallback>
        </mc:AlternateContent>
      </w: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D427CE" w:rsidRDefault="00D427CE" w:rsidP="00EE08B0">
      <w:pPr>
        <w:spacing w:after="0"/>
        <w:ind w:firstLine="708"/>
        <w:jc w:val="both"/>
        <w:rPr>
          <w:sz w:val="24"/>
          <w:szCs w:val="24"/>
          <w:lang w:val="sr-Cyrl-RS"/>
        </w:rPr>
      </w:pPr>
    </w:p>
    <w:p w:rsidR="003252B5" w:rsidRDefault="003252B5" w:rsidP="00EE08B0">
      <w:pPr>
        <w:spacing w:after="0"/>
        <w:ind w:firstLine="708"/>
        <w:jc w:val="both"/>
        <w:rPr>
          <w:sz w:val="24"/>
          <w:szCs w:val="24"/>
          <w:lang w:val="sr-Cyrl-RS"/>
        </w:rPr>
      </w:pPr>
    </w:p>
    <w:p w:rsidR="003252B5" w:rsidRDefault="003252B5" w:rsidP="00EE08B0">
      <w:pPr>
        <w:spacing w:after="0"/>
        <w:ind w:firstLine="708"/>
        <w:jc w:val="both"/>
        <w:rPr>
          <w:sz w:val="24"/>
          <w:szCs w:val="24"/>
          <w:lang w:val="sr-Cyrl-RS"/>
        </w:rPr>
      </w:pPr>
    </w:p>
    <w:p w:rsidR="003252B5" w:rsidRDefault="003252B5" w:rsidP="00EE08B0">
      <w:pPr>
        <w:spacing w:after="0"/>
        <w:ind w:firstLine="708"/>
        <w:jc w:val="both"/>
        <w:rPr>
          <w:sz w:val="24"/>
          <w:szCs w:val="24"/>
          <w:lang w:val="sr-Cyrl-RS"/>
        </w:rPr>
      </w:pPr>
    </w:p>
    <w:p w:rsidR="003252B5" w:rsidRDefault="003252B5" w:rsidP="00EE08B0">
      <w:pPr>
        <w:spacing w:after="0"/>
        <w:ind w:firstLine="708"/>
        <w:jc w:val="both"/>
        <w:rPr>
          <w:sz w:val="24"/>
          <w:szCs w:val="24"/>
          <w:lang w:val="sr-Cyrl-RS"/>
        </w:rPr>
      </w:pPr>
    </w:p>
    <w:p w:rsidR="003252B5" w:rsidRDefault="003252B5" w:rsidP="00EE08B0">
      <w:pPr>
        <w:spacing w:after="0"/>
        <w:ind w:firstLine="708"/>
        <w:jc w:val="both"/>
        <w:rPr>
          <w:sz w:val="24"/>
          <w:szCs w:val="24"/>
          <w:lang w:val="sr-Cyrl-RS"/>
        </w:rPr>
      </w:pPr>
    </w:p>
    <w:p w:rsidR="003252B5" w:rsidRDefault="003252B5" w:rsidP="00EE08B0">
      <w:pPr>
        <w:spacing w:after="0"/>
        <w:ind w:firstLine="708"/>
        <w:jc w:val="both"/>
        <w:rPr>
          <w:sz w:val="24"/>
          <w:szCs w:val="24"/>
          <w:lang w:val="sr-Cyrl-RS"/>
        </w:rPr>
      </w:pPr>
    </w:p>
    <w:p w:rsidR="003252B5" w:rsidRDefault="003252B5" w:rsidP="00EE08B0">
      <w:pPr>
        <w:spacing w:after="0"/>
        <w:ind w:firstLine="708"/>
        <w:jc w:val="both"/>
        <w:rPr>
          <w:sz w:val="24"/>
          <w:szCs w:val="24"/>
          <w:lang w:val="sr-Cyrl-RS"/>
        </w:rPr>
      </w:pPr>
    </w:p>
    <w:p w:rsidR="00D427CE" w:rsidRDefault="00D427CE" w:rsidP="00FA5D96">
      <w:pPr>
        <w:spacing w:after="0"/>
        <w:ind w:firstLine="708"/>
        <w:jc w:val="both"/>
        <w:rPr>
          <w:sz w:val="24"/>
          <w:szCs w:val="24"/>
          <w:lang w:val="sr-Cyrl-RS"/>
        </w:rPr>
      </w:pPr>
    </w:p>
    <w:p w:rsidR="003252B5" w:rsidRDefault="003252B5" w:rsidP="00FA5D96">
      <w:pPr>
        <w:spacing w:after="0"/>
        <w:ind w:firstLine="708"/>
        <w:jc w:val="both"/>
        <w:rPr>
          <w:sz w:val="24"/>
          <w:szCs w:val="24"/>
          <w:lang w:val="sr-Cyrl-RS"/>
        </w:rPr>
      </w:pPr>
    </w:p>
    <w:p w:rsidR="003252B5" w:rsidRDefault="003252B5" w:rsidP="00FA5D96">
      <w:pPr>
        <w:spacing w:after="0"/>
        <w:ind w:firstLine="708"/>
        <w:jc w:val="both"/>
        <w:rPr>
          <w:sz w:val="24"/>
          <w:szCs w:val="24"/>
          <w:lang w:val="sr-Cyrl-RS"/>
        </w:rPr>
      </w:pPr>
    </w:p>
    <w:p w:rsidR="003252B5" w:rsidRDefault="003252B5" w:rsidP="00FA5D96">
      <w:pPr>
        <w:spacing w:after="0"/>
        <w:ind w:firstLine="708"/>
        <w:jc w:val="both"/>
        <w:rPr>
          <w:sz w:val="24"/>
          <w:szCs w:val="24"/>
          <w:lang w:val="sr-Cyrl-RS"/>
        </w:rPr>
      </w:pPr>
    </w:p>
    <w:p w:rsidR="003252B5" w:rsidRDefault="003252B5" w:rsidP="00FA5D96">
      <w:pPr>
        <w:spacing w:after="0"/>
        <w:ind w:firstLine="708"/>
        <w:jc w:val="both"/>
        <w:rPr>
          <w:sz w:val="24"/>
          <w:szCs w:val="24"/>
          <w:lang w:val="sr-Cyrl-RS"/>
        </w:rPr>
      </w:pPr>
    </w:p>
    <w:p w:rsidR="003252B5" w:rsidRDefault="003252B5" w:rsidP="007D3E91">
      <w:pPr>
        <w:spacing w:after="0"/>
        <w:jc w:val="both"/>
        <w:rPr>
          <w:sz w:val="24"/>
          <w:szCs w:val="24"/>
        </w:rPr>
      </w:pPr>
    </w:p>
    <w:p w:rsidR="00C06280" w:rsidRPr="00C06280" w:rsidRDefault="00C06280" w:rsidP="007D3E91">
      <w:pPr>
        <w:spacing w:after="0"/>
        <w:jc w:val="both"/>
        <w:rPr>
          <w:sz w:val="24"/>
          <w:szCs w:val="24"/>
          <w:lang w:val="sr-Cyrl-RS"/>
        </w:rPr>
      </w:pPr>
    </w:p>
    <w:p w:rsidR="00D427CE" w:rsidRDefault="00D427CE" w:rsidP="00FA5D96">
      <w:pPr>
        <w:spacing w:after="0"/>
        <w:ind w:firstLine="708"/>
        <w:jc w:val="both"/>
        <w:rPr>
          <w:b/>
          <w:sz w:val="24"/>
          <w:szCs w:val="24"/>
          <w:lang w:val="sr-Cyrl-RS"/>
        </w:rPr>
      </w:pPr>
      <w:r w:rsidRPr="00D427CE">
        <w:rPr>
          <w:b/>
          <w:sz w:val="24"/>
          <w:szCs w:val="24"/>
          <w:lang w:val="sr-Cyrl-RS"/>
        </w:rPr>
        <w:t>2.1. Уговори велике вредности и немогућност испуњења додатних услова</w:t>
      </w:r>
      <w:r w:rsidR="00050FD8">
        <w:rPr>
          <w:b/>
          <w:sz w:val="24"/>
          <w:szCs w:val="24"/>
          <w:lang w:val="sr-Cyrl-RS"/>
        </w:rPr>
        <w:t>, привремено затварање тржишта кроз „оквирне споразуме“</w:t>
      </w:r>
    </w:p>
    <w:p w:rsidR="0093448B" w:rsidRPr="0093448B" w:rsidRDefault="0093448B" w:rsidP="001A14C0">
      <w:pPr>
        <w:spacing w:after="0"/>
        <w:jc w:val="both"/>
        <w:rPr>
          <w:sz w:val="24"/>
          <w:szCs w:val="24"/>
          <w:lang w:val="sr-Cyrl-RS"/>
        </w:rPr>
      </w:pPr>
    </w:p>
    <w:p w:rsidR="00C9245B" w:rsidRPr="00C9245B" w:rsidRDefault="00C9245B" w:rsidP="00C9245B">
      <w:pPr>
        <w:spacing w:after="0"/>
        <w:ind w:firstLine="708"/>
        <w:jc w:val="both"/>
        <w:rPr>
          <w:sz w:val="24"/>
          <w:szCs w:val="24"/>
          <w:lang w:val="sr-Cyrl-RS"/>
        </w:rPr>
      </w:pPr>
      <w:r w:rsidRPr="00C9245B">
        <w:rPr>
          <w:sz w:val="24"/>
          <w:szCs w:val="24"/>
          <w:lang w:val="sr-Cyrl-RS"/>
        </w:rPr>
        <w:t>Централизација јавних набавки с једне стране може наручиоцима донети значајне уштеде</w:t>
      </w:r>
      <w:r w:rsidR="0041612B">
        <w:rPr>
          <w:sz w:val="24"/>
          <w:szCs w:val="24"/>
          <w:lang w:val="sr-Cyrl-RS"/>
        </w:rPr>
        <w:t>,</w:t>
      </w:r>
      <w:r w:rsidRPr="00C9245B">
        <w:rPr>
          <w:sz w:val="24"/>
          <w:szCs w:val="24"/>
          <w:lang w:val="sr-Cyrl-RS"/>
        </w:rPr>
        <w:t xml:space="preserve"> али може негативно утицати на пословање М</w:t>
      </w:r>
      <w:r w:rsidR="0041612B">
        <w:rPr>
          <w:sz w:val="24"/>
          <w:szCs w:val="24"/>
          <w:lang w:val="sr-Cyrl-RS"/>
        </w:rPr>
        <w:t>М</w:t>
      </w:r>
      <w:r w:rsidRPr="00C9245B">
        <w:rPr>
          <w:sz w:val="24"/>
          <w:szCs w:val="24"/>
          <w:lang w:val="sr-Cyrl-RS"/>
        </w:rPr>
        <w:t>СП. Обједињавање набавки потенцијално представља опасност да М</w:t>
      </w:r>
      <w:r w:rsidR="0041612B">
        <w:rPr>
          <w:sz w:val="24"/>
          <w:szCs w:val="24"/>
          <w:lang w:val="sr-Cyrl-RS"/>
        </w:rPr>
        <w:t>М</w:t>
      </w:r>
      <w:r w:rsidRPr="00C9245B">
        <w:rPr>
          <w:sz w:val="24"/>
          <w:szCs w:val="24"/>
          <w:lang w:val="sr-Cyrl-RS"/>
        </w:rPr>
        <w:t xml:space="preserve">СП буду искључена из </w:t>
      </w:r>
      <w:r w:rsidR="0031557B">
        <w:rPr>
          <w:sz w:val="24"/>
          <w:szCs w:val="24"/>
          <w:lang w:val="sr-Cyrl-RS"/>
        </w:rPr>
        <w:t xml:space="preserve">поступка јавне набавке </w:t>
      </w:r>
      <w:r w:rsidRPr="00C9245B">
        <w:rPr>
          <w:sz w:val="24"/>
          <w:szCs w:val="24"/>
          <w:lang w:val="sr-Cyrl-RS"/>
        </w:rPr>
        <w:t>јер нису у стању да одговоре захтевима наручилаца. Управо је то један од највећих изазова сваке државе, омогућити М</w:t>
      </w:r>
      <w:r w:rsidR="0041612B">
        <w:rPr>
          <w:sz w:val="24"/>
          <w:szCs w:val="24"/>
          <w:lang w:val="sr-Cyrl-RS"/>
        </w:rPr>
        <w:t>МС</w:t>
      </w:r>
      <w:r w:rsidRPr="00C9245B">
        <w:rPr>
          <w:sz w:val="24"/>
          <w:szCs w:val="24"/>
          <w:lang w:val="sr-Cyrl-RS"/>
        </w:rPr>
        <w:t>П приступ и овим поступцима који су по правилу пре</w:t>
      </w:r>
      <w:r>
        <w:rPr>
          <w:sz w:val="24"/>
          <w:szCs w:val="24"/>
          <w:lang w:val="sr-Cyrl-RS"/>
        </w:rPr>
        <w:t>двиђени само за вели</w:t>
      </w:r>
      <w:r w:rsidR="00697278">
        <w:rPr>
          <w:sz w:val="24"/>
          <w:szCs w:val="24"/>
          <w:lang w:val="sr-Cyrl-RS"/>
        </w:rPr>
        <w:t>ке понуђаче</w:t>
      </w:r>
      <w:r w:rsidRPr="00C9245B">
        <w:rPr>
          <w:sz w:val="24"/>
          <w:szCs w:val="24"/>
          <w:lang w:val="sr-Cyrl-RS"/>
        </w:rPr>
        <w:t>. Веома је битно наћи начин да М</w:t>
      </w:r>
      <w:r w:rsidR="0041612B">
        <w:rPr>
          <w:sz w:val="24"/>
          <w:szCs w:val="24"/>
          <w:lang w:val="sr-Cyrl-RS"/>
        </w:rPr>
        <w:t>МС</w:t>
      </w:r>
      <w:r w:rsidR="00697278">
        <w:rPr>
          <w:sz w:val="24"/>
          <w:szCs w:val="24"/>
          <w:lang w:val="sr-Cyrl-RS"/>
        </w:rPr>
        <w:t>П добију део тако великог посла</w:t>
      </w:r>
      <w:r w:rsidRPr="00C9245B">
        <w:rPr>
          <w:sz w:val="24"/>
          <w:szCs w:val="24"/>
          <w:lang w:val="sr-Cyrl-RS"/>
        </w:rPr>
        <w:t>.</w:t>
      </w:r>
    </w:p>
    <w:p w:rsidR="00250627" w:rsidRPr="00050FD8" w:rsidRDefault="00C9245B" w:rsidP="00250627">
      <w:pPr>
        <w:spacing w:after="0"/>
        <w:ind w:firstLine="708"/>
        <w:jc w:val="both"/>
        <w:rPr>
          <w:sz w:val="24"/>
          <w:szCs w:val="24"/>
          <w:lang w:val="sr-Cyrl-RS"/>
        </w:rPr>
      </w:pPr>
      <w:r w:rsidRPr="00C9245B">
        <w:rPr>
          <w:sz w:val="24"/>
          <w:szCs w:val="24"/>
          <w:lang w:val="sr-Cyrl-RS"/>
        </w:rPr>
        <w:t>ЗЈН је узео у обзир потешкоће на које би наилазила М</w:t>
      </w:r>
      <w:r w:rsidR="0041612B">
        <w:rPr>
          <w:sz w:val="24"/>
          <w:szCs w:val="24"/>
          <w:lang w:val="sr-Cyrl-RS"/>
        </w:rPr>
        <w:t>МС</w:t>
      </w:r>
      <w:r w:rsidRPr="00C9245B">
        <w:rPr>
          <w:sz w:val="24"/>
          <w:szCs w:val="24"/>
          <w:lang w:val="sr-Cyrl-RS"/>
        </w:rPr>
        <w:t>П</w:t>
      </w:r>
      <w:r>
        <w:rPr>
          <w:sz w:val="24"/>
          <w:szCs w:val="24"/>
          <w:lang w:val="sr-Cyrl-RS"/>
        </w:rPr>
        <w:t>,</w:t>
      </w:r>
      <w:r w:rsidR="0041612B">
        <w:rPr>
          <w:sz w:val="24"/>
          <w:szCs w:val="24"/>
          <w:lang w:val="sr-Cyrl-RS"/>
        </w:rPr>
        <w:t xml:space="preserve"> те је предвидео да тело</w:t>
      </w:r>
      <w:r w:rsidRPr="00C9245B">
        <w:rPr>
          <w:sz w:val="24"/>
          <w:szCs w:val="24"/>
          <w:lang w:val="sr-Cyrl-RS"/>
        </w:rPr>
        <w:t xml:space="preserve"> за централизоване јавне набавке мора набавку обликовати </w:t>
      </w:r>
      <w:r w:rsidR="0041612B">
        <w:rPr>
          <w:sz w:val="24"/>
          <w:szCs w:val="24"/>
          <w:lang w:val="sr-Cyrl-RS"/>
        </w:rPr>
        <w:t>по партијама, увек кад је то могуће на начин да омогући</w:t>
      </w:r>
      <w:r w:rsidRPr="00C9245B">
        <w:rPr>
          <w:sz w:val="24"/>
          <w:szCs w:val="24"/>
          <w:lang w:val="sr-Cyrl-RS"/>
        </w:rPr>
        <w:t xml:space="preserve"> учешће М</w:t>
      </w:r>
      <w:r w:rsidR="0041612B">
        <w:rPr>
          <w:sz w:val="24"/>
          <w:szCs w:val="24"/>
          <w:lang w:val="sr-Cyrl-RS"/>
        </w:rPr>
        <w:t>МС</w:t>
      </w:r>
      <w:r w:rsidRPr="00C9245B">
        <w:rPr>
          <w:sz w:val="24"/>
          <w:szCs w:val="24"/>
          <w:lang w:val="sr-Cyrl-RS"/>
        </w:rPr>
        <w:t>П</w:t>
      </w:r>
      <w:r>
        <w:rPr>
          <w:rStyle w:val="FootnoteReference"/>
          <w:sz w:val="24"/>
          <w:szCs w:val="24"/>
          <w:lang w:val="sr-Cyrl-RS"/>
        </w:rPr>
        <w:footnoteReference w:id="6"/>
      </w:r>
      <w:r w:rsidRPr="00C9245B">
        <w:rPr>
          <w:sz w:val="24"/>
          <w:szCs w:val="24"/>
          <w:lang w:val="sr-Cyrl-RS"/>
        </w:rPr>
        <w:t>. Управа за заједничке послове као тело за централизоване набавке је у обавези да набавке обликује по партијама увек када је то могуће</w:t>
      </w:r>
      <w:r>
        <w:rPr>
          <w:rStyle w:val="FootnoteReference"/>
          <w:sz w:val="24"/>
          <w:szCs w:val="24"/>
          <w:lang w:val="sr-Cyrl-RS"/>
        </w:rPr>
        <w:footnoteReference w:id="7"/>
      </w:r>
      <w:r w:rsidRPr="00C9245B">
        <w:rPr>
          <w:sz w:val="24"/>
          <w:szCs w:val="24"/>
          <w:lang w:val="sr-Cyrl-RS"/>
        </w:rPr>
        <w:t>. Директива 24/2014/ЕУ предвидела</w:t>
      </w:r>
      <w:r w:rsidR="00646A3D" w:rsidRPr="00C9245B">
        <w:rPr>
          <w:sz w:val="24"/>
          <w:szCs w:val="24"/>
          <w:lang w:val="sr-Cyrl-RS"/>
        </w:rPr>
        <w:t xml:space="preserve"> је</w:t>
      </w:r>
      <w:r w:rsidRPr="00C9245B">
        <w:rPr>
          <w:sz w:val="24"/>
          <w:szCs w:val="24"/>
          <w:lang w:val="sr-Cyrl-RS"/>
        </w:rPr>
        <w:t xml:space="preserve"> </w:t>
      </w:r>
      <w:r w:rsidR="00B20115">
        <w:rPr>
          <w:sz w:val="24"/>
          <w:szCs w:val="24"/>
          <w:lang w:val="sr-Cyrl-RS"/>
        </w:rPr>
        <w:t xml:space="preserve">да државе чланице могу националним законом прописати </w:t>
      </w:r>
      <w:r w:rsidRPr="00C9245B">
        <w:rPr>
          <w:sz w:val="24"/>
          <w:szCs w:val="24"/>
          <w:lang w:val="sr-Cyrl-RS"/>
        </w:rPr>
        <w:t>као правило да сви наручиоци поступке јавних набавки обликују по партијама, а уколико то не ураде морају у документацији за набавку и</w:t>
      </w:r>
      <w:r w:rsidR="00B20115">
        <w:rPr>
          <w:sz w:val="24"/>
          <w:szCs w:val="24"/>
          <w:lang w:val="sr-Cyrl-RS"/>
        </w:rPr>
        <w:t>ли</w:t>
      </w:r>
      <w:r w:rsidRPr="00C9245B">
        <w:rPr>
          <w:sz w:val="24"/>
          <w:szCs w:val="24"/>
          <w:lang w:val="sr-Cyrl-RS"/>
        </w:rPr>
        <w:t xml:space="preserve"> у </w:t>
      </w:r>
      <w:r w:rsidR="00B20115">
        <w:rPr>
          <w:sz w:val="24"/>
          <w:szCs w:val="24"/>
          <w:lang w:val="sr-Cyrl-RS"/>
        </w:rPr>
        <w:t>појединачном извештају да наведу разлоге за такво</w:t>
      </w:r>
      <w:r w:rsidRPr="00C9245B">
        <w:rPr>
          <w:sz w:val="24"/>
          <w:szCs w:val="24"/>
          <w:lang w:val="sr-Cyrl-RS"/>
        </w:rPr>
        <w:t xml:space="preserve"> поступање</w:t>
      </w:r>
      <w:r>
        <w:rPr>
          <w:rStyle w:val="FootnoteReference"/>
          <w:sz w:val="24"/>
          <w:szCs w:val="24"/>
          <w:lang w:val="sr-Cyrl-RS"/>
        </w:rPr>
        <w:footnoteReference w:id="8"/>
      </w:r>
      <w:r w:rsidRPr="00C9245B">
        <w:rPr>
          <w:sz w:val="24"/>
          <w:szCs w:val="24"/>
          <w:lang w:val="sr-Cyrl-RS"/>
        </w:rPr>
        <w:t>.</w:t>
      </w:r>
      <w:r w:rsidR="00250627" w:rsidRPr="00250627">
        <w:t xml:space="preserve"> </w:t>
      </w:r>
      <w:r w:rsidR="00250627" w:rsidRPr="00250627">
        <w:rPr>
          <w:sz w:val="24"/>
          <w:szCs w:val="24"/>
          <w:lang w:val="sr-Cyrl-RS"/>
        </w:rPr>
        <w:t>Подела пре</w:t>
      </w:r>
      <w:r w:rsidR="0041612B">
        <w:rPr>
          <w:sz w:val="24"/>
          <w:szCs w:val="24"/>
          <w:lang w:val="sr-Cyrl-RS"/>
        </w:rPr>
        <w:t xml:space="preserve">дмета по партијама би требало </w:t>
      </w:r>
      <w:r w:rsidR="00250627" w:rsidRPr="00250627">
        <w:rPr>
          <w:sz w:val="24"/>
          <w:szCs w:val="24"/>
          <w:lang w:val="sr-Cyrl-RS"/>
        </w:rPr>
        <w:t>да се врши и у кв</w:t>
      </w:r>
      <w:r w:rsidR="0041612B">
        <w:rPr>
          <w:sz w:val="24"/>
          <w:szCs w:val="24"/>
          <w:lang w:val="sr-Cyrl-RS"/>
        </w:rPr>
        <w:t xml:space="preserve">антитативном и у квалитативном </w:t>
      </w:r>
      <w:r w:rsidR="00250627" w:rsidRPr="00250627">
        <w:rPr>
          <w:sz w:val="24"/>
          <w:szCs w:val="24"/>
          <w:lang w:val="sr-Cyrl-RS"/>
        </w:rPr>
        <w:t xml:space="preserve"> смислу. У квантитативном смислу потребно је да се партије одређују тако што ће се узети у обзир величина и број партија како би биле у складу са производним капацитетима понуђача, док у квалитативном смислу треба узети у обзир садржину партија како би се прилагодила специјализованим сектори</w:t>
      </w:r>
      <w:r w:rsidR="00E812A9">
        <w:rPr>
          <w:sz w:val="24"/>
          <w:szCs w:val="24"/>
          <w:lang w:val="sr-Cyrl-RS"/>
        </w:rPr>
        <w:t>ма М</w:t>
      </w:r>
      <w:r w:rsidR="00C06280">
        <w:rPr>
          <w:sz w:val="24"/>
          <w:szCs w:val="24"/>
          <w:lang w:val="sr-Cyrl-RS"/>
        </w:rPr>
        <w:t>МС</w:t>
      </w:r>
      <w:r w:rsidR="00250627" w:rsidRPr="00250627">
        <w:rPr>
          <w:sz w:val="24"/>
          <w:szCs w:val="24"/>
          <w:lang w:val="sr-Cyrl-RS"/>
        </w:rPr>
        <w:t xml:space="preserve">П. </w:t>
      </w:r>
      <w:r w:rsidR="00AD41F8">
        <w:rPr>
          <w:sz w:val="24"/>
          <w:szCs w:val="24"/>
          <w:lang w:val="sr-Cyrl-RS"/>
        </w:rPr>
        <w:t>Обликовање предмета набавке по партијама</w:t>
      </w:r>
      <w:r w:rsidR="00250627" w:rsidRPr="00250627">
        <w:rPr>
          <w:sz w:val="24"/>
          <w:szCs w:val="24"/>
          <w:lang w:val="sr-Cyrl-RS"/>
        </w:rPr>
        <w:t xml:space="preserve"> се може размотрити и приликом спровођења оквирних </w:t>
      </w:r>
      <w:r w:rsidR="00815778">
        <w:rPr>
          <w:sz w:val="24"/>
          <w:szCs w:val="24"/>
          <w:lang w:val="sr-Cyrl-RS"/>
        </w:rPr>
        <w:t xml:space="preserve">споразума. </w:t>
      </w:r>
      <w:r w:rsidR="00AD41F8">
        <w:rPr>
          <w:sz w:val="24"/>
          <w:szCs w:val="24"/>
          <w:lang w:val="sr-Cyrl-RS"/>
        </w:rPr>
        <w:t>Да би се М</w:t>
      </w:r>
      <w:r w:rsidR="00815778">
        <w:rPr>
          <w:sz w:val="24"/>
          <w:szCs w:val="24"/>
          <w:lang w:val="sr-Cyrl-RS"/>
        </w:rPr>
        <w:t>М</w:t>
      </w:r>
      <w:r w:rsidR="00AD41F8">
        <w:rPr>
          <w:sz w:val="24"/>
          <w:szCs w:val="24"/>
          <w:lang w:val="sr-Cyrl-RS"/>
        </w:rPr>
        <w:t>СП</w:t>
      </w:r>
      <w:r w:rsidR="00250627" w:rsidRPr="00250627">
        <w:rPr>
          <w:sz w:val="24"/>
          <w:szCs w:val="24"/>
          <w:lang w:val="sr-Cyrl-RS"/>
        </w:rPr>
        <w:t xml:space="preserve"> омогућило учешће  </w:t>
      </w:r>
      <w:r w:rsidR="00AD41F8">
        <w:rPr>
          <w:sz w:val="24"/>
          <w:szCs w:val="24"/>
          <w:lang w:val="sr-Cyrl-RS"/>
        </w:rPr>
        <w:t xml:space="preserve">у </w:t>
      </w:r>
      <w:r w:rsidR="00250627" w:rsidRPr="00250627">
        <w:rPr>
          <w:sz w:val="24"/>
          <w:szCs w:val="24"/>
          <w:lang w:val="sr-Cyrl-RS"/>
        </w:rPr>
        <w:t xml:space="preserve">оквирним споразумима, наручиоци могу </w:t>
      </w:r>
      <w:r w:rsidR="00697278">
        <w:rPr>
          <w:sz w:val="24"/>
          <w:szCs w:val="24"/>
          <w:lang w:val="sr-Cyrl-RS"/>
        </w:rPr>
        <w:t xml:space="preserve">узети у обзир могућност </w:t>
      </w:r>
      <w:r w:rsidR="00250627" w:rsidRPr="00250627">
        <w:rPr>
          <w:sz w:val="24"/>
          <w:szCs w:val="24"/>
          <w:lang w:val="sr-Cyrl-RS"/>
        </w:rPr>
        <w:t>закључења оквирних споразума са више понуђача, а не само са једним. У поређењу са традиционалним поступцима јавних набавки у којима наручиоци бирају једног понуђача и са њим закључују уговор (који је најчешће велико правно лице), у оквирном споразуму који је закључен са више понуђача, а притом је подељен по партијама даје се шанса већем броју мањих понуђача да добију део који би могли да испуне.</w:t>
      </w:r>
      <w:r w:rsidR="00050FD8">
        <w:rPr>
          <w:sz w:val="24"/>
          <w:szCs w:val="24"/>
        </w:rPr>
        <w:t xml:space="preserve"> </w:t>
      </w:r>
      <w:r w:rsidR="00050FD8">
        <w:rPr>
          <w:sz w:val="24"/>
          <w:szCs w:val="24"/>
          <w:lang w:val="sr-Cyrl-RS"/>
        </w:rPr>
        <w:t>Наведено је нарочито значајно јер се закључивањем оквирних споразума на дужи временски период на неки начин привремено затвара тржиште.</w:t>
      </w:r>
    </w:p>
    <w:p w:rsidR="00AD41F8" w:rsidRDefault="00250627" w:rsidP="00250627">
      <w:pPr>
        <w:spacing w:after="0"/>
        <w:ind w:firstLine="708"/>
        <w:jc w:val="both"/>
        <w:rPr>
          <w:sz w:val="24"/>
          <w:szCs w:val="24"/>
          <w:lang w:val="sr-Cyrl-RS"/>
        </w:rPr>
      </w:pPr>
      <w:r w:rsidRPr="00250627">
        <w:rPr>
          <w:sz w:val="24"/>
          <w:szCs w:val="24"/>
          <w:lang w:val="sr-Cyrl-RS"/>
        </w:rPr>
        <w:t>У појединим земљама ЕУ донети су водичи за спровођење оквирних споразума у којим</w:t>
      </w:r>
      <w:r w:rsidR="00AD41F8">
        <w:rPr>
          <w:sz w:val="24"/>
          <w:szCs w:val="24"/>
          <w:lang w:val="sr-Cyrl-RS"/>
        </w:rPr>
        <w:t>а</w:t>
      </w:r>
      <w:r w:rsidRPr="00250627">
        <w:rPr>
          <w:sz w:val="24"/>
          <w:szCs w:val="24"/>
          <w:lang w:val="sr-Cyrl-RS"/>
        </w:rPr>
        <w:t xml:space="preserve"> се дају смернице наручиоцима да приликом спровођења поступка ради закључења оквирног споразума као минимални ниво способности понуђача вежу за </w:t>
      </w:r>
      <w:r w:rsidRPr="00250627">
        <w:rPr>
          <w:sz w:val="24"/>
          <w:szCs w:val="24"/>
          <w:lang w:val="sr-Cyrl-RS"/>
        </w:rPr>
        <w:lastRenderedPageBreak/>
        <w:t xml:space="preserve">“највећи уговор“ а не за укупну вредност свих уговора који ће бити закључени путем оквирног споразума. </w:t>
      </w:r>
    </w:p>
    <w:p w:rsidR="000D5691" w:rsidRDefault="000D5691" w:rsidP="00250627">
      <w:pPr>
        <w:spacing w:after="0"/>
        <w:ind w:firstLine="708"/>
        <w:jc w:val="both"/>
        <w:rPr>
          <w:sz w:val="24"/>
          <w:szCs w:val="24"/>
          <w:lang w:val="sr-Cyrl-RS"/>
        </w:rPr>
      </w:pPr>
      <w:r>
        <w:rPr>
          <w:sz w:val="24"/>
          <w:szCs w:val="24"/>
          <w:lang w:val="sr-Cyrl-RS"/>
        </w:rPr>
        <w:t>Поред квалитативно и квантитат</w:t>
      </w:r>
      <w:r w:rsidR="00275366">
        <w:rPr>
          <w:sz w:val="24"/>
          <w:szCs w:val="24"/>
          <w:lang w:val="sr-Cyrl-RS"/>
        </w:rPr>
        <w:t>и</w:t>
      </w:r>
      <w:r>
        <w:rPr>
          <w:sz w:val="24"/>
          <w:szCs w:val="24"/>
          <w:lang w:val="sr-Cyrl-RS"/>
        </w:rPr>
        <w:t>вно великих уговора, наручиоци могу искључити М</w:t>
      </w:r>
      <w:r w:rsidR="00815778">
        <w:rPr>
          <w:sz w:val="24"/>
          <w:szCs w:val="24"/>
          <w:lang w:val="sr-Cyrl-RS"/>
        </w:rPr>
        <w:t>МС</w:t>
      </w:r>
      <w:r>
        <w:rPr>
          <w:sz w:val="24"/>
          <w:szCs w:val="24"/>
          <w:lang w:val="sr-Cyrl-RS"/>
        </w:rPr>
        <w:t xml:space="preserve">П одређивањем капацитета као додатних услова за учествовање који су непропорционални предмету набавке. На тај начин се дискриминишу понуђачи који би могли да изврше такву набавку, када би ти услови били </w:t>
      </w:r>
      <w:r w:rsidRPr="000D5691">
        <w:rPr>
          <w:sz w:val="24"/>
          <w:szCs w:val="24"/>
          <w:lang w:val="sr-Cyrl-RS"/>
        </w:rPr>
        <w:t xml:space="preserve">реално </w:t>
      </w:r>
      <w:r>
        <w:rPr>
          <w:sz w:val="24"/>
          <w:szCs w:val="24"/>
          <w:lang w:val="sr-Cyrl-RS"/>
        </w:rPr>
        <w:t xml:space="preserve">одређени. </w:t>
      </w:r>
    </w:p>
    <w:p w:rsidR="00FA5D96" w:rsidRDefault="00250627" w:rsidP="00250627">
      <w:pPr>
        <w:spacing w:after="0"/>
        <w:ind w:firstLine="708"/>
        <w:jc w:val="both"/>
        <w:rPr>
          <w:sz w:val="24"/>
          <w:szCs w:val="24"/>
          <w:lang w:val="sr-Cyrl-RS"/>
        </w:rPr>
      </w:pPr>
      <w:r w:rsidRPr="00250627">
        <w:rPr>
          <w:sz w:val="24"/>
          <w:szCs w:val="24"/>
          <w:lang w:val="sr-Cyrl-RS"/>
        </w:rPr>
        <w:t xml:space="preserve"> </w:t>
      </w:r>
      <w:r w:rsidR="00C9245B">
        <w:rPr>
          <w:sz w:val="24"/>
          <w:szCs w:val="24"/>
          <w:lang w:val="sr-Cyrl-RS"/>
        </w:rPr>
        <w:t xml:space="preserve"> </w:t>
      </w:r>
      <w:r w:rsidR="00FA5D96">
        <w:rPr>
          <w:sz w:val="24"/>
          <w:szCs w:val="24"/>
          <w:lang w:val="sr-Cyrl-RS"/>
        </w:rPr>
        <w:t xml:space="preserve">Примера ради, </w:t>
      </w:r>
      <w:r w:rsidR="00685BFB">
        <w:rPr>
          <w:sz w:val="24"/>
          <w:szCs w:val="24"/>
          <w:lang w:val="sr-Cyrl-RS"/>
        </w:rPr>
        <w:t xml:space="preserve">одређивање финансијског капацитета који је неоправдано превисоко одређен може дестимулисати </w:t>
      </w:r>
      <w:r w:rsidR="00575828" w:rsidRPr="00575828">
        <w:rPr>
          <w:sz w:val="24"/>
          <w:szCs w:val="24"/>
          <w:lang w:val="sr-Cyrl-RS"/>
        </w:rPr>
        <w:t>М</w:t>
      </w:r>
      <w:r w:rsidR="00815778">
        <w:rPr>
          <w:sz w:val="24"/>
          <w:szCs w:val="24"/>
          <w:lang w:val="sr-Cyrl-RS"/>
        </w:rPr>
        <w:t>МС</w:t>
      </w:r>
      <w:r w:rsidR="00575828" w:rsidRPr="00575828">
        <w:rPr>
          <w:sz w:val="24"/>
          <w:szCs w:val="24"/>
          <w:lang w:val="sr-Cyrl-RS"/>
        </w:rPr>
        <w:t>П</w:t>
      </w:r>
      <w:r w:rsidR="00685BFB">
        <w:rPr>
          <w:sz w:val="24"/>
          <w:szCs w:val="24"/>
          <w:lang w:val="sr-Cyrl-RS"/>
        </w:rPr>
        <w:t xml:space="preserve"> да учествују у том поступку. </w:t>
      </w:r>
      <w:r w:rsidR="00DF7796">
        <w:rPr>
          <w:sz w:val="24"/>
          <w:szCs w:val="24"/>
          <w:lang w:val="sr-Cyrl-RS"/>
        </w:rPr>
        <w:t>ЗЈН предвиђа колики је оптималан финансијски капацитет који наручиоци могу предвидети у конкурсној документацији</w:t>
      </w:r>
      <w:r w:rsidR="00815778">
        <w:rPr>
          <w:sz w:val="24"/>
          <w:szCs w:val="24"/>
          <w:lang w:val="sr-Cyrl-RS"/>
        </w:rPr>
        <w:t>, односно минималан приход који се тражи од понуђача не сме бити већи од двоструке процењене вредности јавне набавке, осим у нарочито оправданим случајевима</w:t>
      </w:r>
      <w:r w:rsidR="00815778">
        <w:rPr>
          <w:rStyle w:val="FootnoteReference"/>
          <w:sz w:val="24"/>
          <w:szCs w:val="24"/>
          <w:lang w:val="sr-Cyrl-RS"/>
        </w:rPr>
        <w:footnoteReference w:id="9"/>
      </w:r>
      <w:r w:rsidR="00DF7796">
        <w:rPr>
          <w:sz w:val="24"/>
          <w:szCs w:val="24"/>
          <w:lang w:val="sr-Cyrl-RS"/>
        </w:rPr>
        <w:t xml:space="preserve">. Постоји </w:t>
      </w:r>
      <w:r w:rsidR="00815778">
        <w:rPr>
          <w:sz w:val="24"/>
          <w:szCs w:val="24"/>
          <w:lang w:val="sr-Cyrl-RS"/>
        </w:rPr>
        <w:t xml:space="preserve">и </w:t>
      </w:r>
      <w:r w:rsidR="00DF7796">
        <w:rPr>
          <w:sz w:val="24"/>
          <w:szCs w:val="24"/>
          <w:lang w:val="sr-Cyrl-RS"/>
        </w:rPr>
        <w:t>обавеза да додатни услови (капацитети који се уобичајено траже) морају бити у логичкој вези с предметом јавне набавке и не смеју дискриминисати понуђаче</w:t>
      </w:r>
      <w:r w:rsidR="00275366">
        <w:rPr>
          <w:rStyle w:val="FootnoteReference"/>
          <w:sz w:val="24"/>
          <w:szCs w:val="24"/>
          <w:lang w:val="sr-Cyrl-RS"/>
        </w:rPr>
        <w:footnoteReference w:id="10"/>
      </w:r>
      <w:r w:rsidR="00815778">
        <w:rPr>
          <w:sz w:val="24"/>
          <w:szCs w:val="24"/>
          <w:lang w:val="sr-Cyrl-RS"/>
        </w:rPr>
        <w:t>. Такође</w:t>
      </w:r>
      <w:r w:rsidR="00DF7796">
        <w:rPr>
          <w:sz w:val="24"/>
          <w:szCs w:val="24"/>
          <w:lang w:val="sr-Cyrl-RS"/>
        </w:rPr>
        <w:t xml:space="preserve">, </w:t>
      </w:r>
      <w:r w:rsidR="00441B22">
        <w:rPr>
          <w:sz w:val="24"/>
          <w:szCs w:val="24"/>
          <w:lang w:val="sr-Cyrl-RS"/>
        </w:rPr>
        <w:t xml:space="preserve">Директива 24/2014/ЕУ јасно прописује да наручилац приликом одређивања финансијског капацитета, може </w:t>
      </w:r>
      <w:r w:rsidR="008A3BDF">
        <w:rPr>
          <w:sz w:val="24"/>
          <w:szCs w:val="24"/>
          <w:lang w:val="sr-Cyrl-RS"/>
        </w:rPr>
        <w:t>т</w:t>
      </w:r>
      <w:r w:rsidR="00441B22">
        <w:rPr>
          <w:sz w:val="24"/>
          <w:szCs w:val="24"/>
          <w:lang w:val="sr-Cyrl-RS"/>
        </w:rPr>
        <w:t>ражити годишњи промет не већи од двоструке вредности процењене вредности набавке. Само изу</w:t>
      </w:r>
      <w:r w:rsidR="00275366">
        <w:rPr>
          <w:sz w:val="24"/>
          <w:szCs w:val="24"/>
          <w:lang w:val="sr-Cyrl-RS"/>
        </w:rPr>
        <w:t>з</w:t>
      </w:r>
      <w:r w:rsidR="00441B22">
        <w:rPr>
          <w:sz w:val="24"/>
          <w:szCs w:val="24"/>
          <w:lang w:val="sr-Cyrl-RS"/>
        </w:rPr>
        <w:t xml:space="preserve">етно, у нарочито оправданим случајевима </w:t>
      </w:r>
      <w:r w:rsidR="008A3BDF">
        <w:rPr>
          <w:sz w:val="24"/>
          <w:szCs w:val="24"/>
          <w:lang w:val="sr-Cyrl-RS"/>
        </w:rPr>
        <w:t>повезаним</w:t>
      </w:r>
      <w:r w:rsidR="00441B22">
        <w:rPr>
          <w:sz w:val="24"/>
          <w:szCs w:val="24"/>
          <w:lang w:val="sr-Cyrl-RS"/>
        </w:rPr>
        <w:t xml:space="preserve"> са одређеним ризицима који се односе на саму природу добара, услуга или радова, наручилац може тражити финансијски капацитет који је већи од двоструке</w:t>
      </w:r>
      <w:r w:rsidR="00441B22" w:rsidRPr="00441B22">
        <w:rPr>
          <w:sz w:val="24"/>
          <w:szCs w:val="24"/>
          <w:lang w:val="sr-Cyrl-RS"/>
        </w:rPr>
        <w:t xml:space="preserve"> </w:t>
      </w:r>
      <w:r w:rsidR="00441B22">
        <w:rPr>
          <w:sz w:val="24"/>
          <w:szCs w:val="24"/>
          <w:lang w:val="sr-Cyrl-RS"/>
        </w:rPr>
        <w:t>вредн</w:t>
      </w:r>
      <w:r w:rsidR="00275366">
        <w:rPr>
          <w:sz w:val="24"/>
          <w:szCs w:val="24"/>
          <w:lang w:val="sr-Cyrl-RS"/>
        </w:rPr>
        <w:t>ости процењене вредности уговора</w:t>
      </w:r>
      <w:r w:rsidR="00275366">
        <w:rPr>
          <w:rStyle w:val="FootnoteReference"/>
          <w:sz w:val="24"/>
          <w:szCs w:val="24"/>
          <w:lang w:val="sr-Cyrl-RS"/>
        </w:rPr>
        <w:footnoteReference w:id="11"/>
      </w:r>
      <w:r w:rsidR="00441B22">
        <w:rPr>
          <w:sz w:val="24"/>
          <w:szCs w:val="24"/>
          <w:lang w:val="sr-Cyrl-RS"/>
        </w:rPr>
        <w:t>.</w:t>
      </w:r>
      <w:r w:rsidR="008A3BDF">
        <w:rPr>
          <w:sz w:val="24"/>
          <w:szCs w:val="24"/>
          <w:lang w:val="sr-Cyrl-RS"/>
        </w:rPr>
        <w:t xml:space="preserve"> Ограничивање учешћа </w:t>
      </w:r>
      <w:r w:rsidR="00575828" w:rsidRPr="00575828">
        <w:rPr>
          <w:sz w:val="24"/>
          <w:szCs w:val="24"/>
          <w:lang w:val="sr-Cyrl-RS"/>
        </w:rPr>
        <w:t>М</w:t>
      </w:r>
      <w:r w:rsidR="00815778">
        <w:rPr>
          <w:sz w:val="24"/>
          <w:szCs w:val="24"/>
          <w:lang w:val="sr-Cyrl-RS"/>
        </w:rPr>
        <w:t>МС</w:t>
      </w:r>
      <w:r w:rsidR="00575828" w:rsidRPr="00575828">
        <w:rPr>
          <w:sz w:val="24"/>
          <w:szCs w:val="24"/>
          <w:lang w:val="sr-Cyrl-RS"/>
        </w:rPr>
        <w:t xml:space="preserve">П </w:t>
      </w:r>
      <w:r w:rsidR="008A3BDF">
        <w:rPr>
          <w:sz w:val="24"/>
          <w:szCs w:val="24"/>
          <w:lang w:val="sr-Cyrl-RS"/>
        </w:rPr>
        <w:t xml:space="preserve">одређивањем капацитета који су нереално одређени или са циљем да се смањи конкуренција у поступцима у државама чланицама ЕУ довели су управо до јасног дефинисања у новој директиви. </w:t>
      </w:r>
    </w:p>
    <w:p w:rsidR="00AD41F8" w:rsidRDefault="00AD41F8" w:rsidP="00250627">
      <w:pPr>
        <w:spacing w:after="0"/>
        <w:ind w:firstLine="708"/>
        <w:jc w:val="both"/>
        <w:rPr>
          <w:sz w:val="24"/>
          <w:szCs w:val="24"/>
          <w:lang w:val="sr-Cyrl-RS"/>
        </w:rPr>
      </w:pPr>
    </w:p>
    <w:p w:rsidR="00DA2A47" w:rsidRDefault="00DA2A47" w:rsidP="00250627">
      <w:pPr>
        <w:spacing w:after="0"/>
        <w:ind w:firstLine="708"/>
        <w:jc w:val="both"/>
        <w:rPr>
          <w:sz w:val="24"/>
          <w:szCs w:val="24"/>
          <w:lang w:val="sr-Cyrl-RS"/>
        </w:rPr>
      </w:pPr>
    </w:p>
    <w:p w:rsidR="00DA2A47" w:rsidRDefault="00DA2A47" w:rsidP="00250627">
      <w:pPr>
        <w:spacing w:after="0"/>
        <w:ind w:firstLine="708"/>
        <w:jc w:val="both"/>
        <w:rPr>
          <w:sz w:val="24"/>
          <w:szCs w:val="24"/>
          <w:lang w:val="sr-Cyrl-RS"/>
        </w:rPr>
      </w:pPr>
    </w:p>
    <w:p w:rsidR="00815778" w:rsidRDefault="00815778" w:rsidP="00250627">
      <w:pPr>
        <w:spacing w:after="0"/>
        <w:ind w:firstLine="708"/>
        <w:jc w:val="both"/>
        <w:rPr>
          <w:sz w:val="24"/>
          <w:szCs w:val="24"/>
          <w:lang w:val="sr-Cyrl-RS"/>
        </w:rPr>
      </w:pPr>
    </w:p>
    <w:p w:rsidR="002C797B" w:rsidRDefault="002C797B" w:rsidP="00050FD8">
      <w:pPr>
        <w:spacing w:after="0"/>
        <w:jc w:val="both"/>
        <w:rPr>
          <w:sz w:val="24"/>
          <w:szCs w:val="24"/>
          <w:lang w:val="sr-Cyrl-RS"/>
        </w:rPr>
      </w:pPr>
    </w:p>
    <w:p w:rsidR="009A7C39" w:rsidRDefault="009A7C39" w:rsidP="00050FD8">
      <w:pPr>
        <w:spacing w:after="0"/>
        <w:jc w:val="both"/>
        <w:rPr>
          <w:sz w:val="24"/>
          <w:szCs w:val="24"/>
          <w:lang w:val="sr-Cyrl-RS"/>
        </w:rPr>
      </w:pPr>
    </w:p>
    <w:p w:rsidR="005F3560" w:rsidRDefault="005F3560" w:rsidP="00050FD8">
      <w:pPr>
        <w:spacing w:after="0"/>
        <w:jc w:val="both"/>
        <w:rPr>
          <w:sz w:val="24"/>
          <w:szCs w:val="24"/>
          <w:lang w:val="sr-Cyrl-RS"/>
        </w:rPr>
      </w:pPr>
    </w:p>
    <w:p w:rsidR="005F3560" w:rsidRDefault="005F3560" w:rsidP="00050FD8">
      <w:pPr>
        <w:spacing w:after="0"/>
        <w:jc w:val="both"/>
        <w:rPr>
          <w:sz w:val="24"/>
          <w:szCs w:val="24"/>
          <w:lang w:val="sr-Cyrl-RS"/>
        </w:rPr>
      </w:pPr>
    </w:p>
    <w:p w:rsidR="005F3560" w:rsidRDefault="005F3560" w:rsidP="00050FD8">
      <w:pPr>
        <w:spacing w:after="0"/>
        <w:jc w:val="both"/>
        <w:rPr>
          <w:sz w:val="24"/>
          <w:szCs w:val="24"/>
          <w:lang w:val="sr-Cyrl-RS"/>
        </w:rPr>
      </w:pPr>
    </w:p>
    <w:p w:rsidR="005F3560" w:rsidRDefault="005F3560" w:rsidP="00050FD8">
      <w:pPr>
        <w:spacing w:after="0"/>
        <w:jc w:val="both"/>
        <w:rPr>
          <w:sz w:val="24"/>
          <w:szCs w:val="24"/>
          <w:lang w:val="sr-Cyrl-RS"/>
        </w:rPr>
      </w:pPr>
    </w:p>
    <w:p w:rsidR="005F3560" w:rsidRDefault="005F3560" w:rsidP="00050FD8">
      <w:pPr>
        <w:spacing w:after="0"/>
        <w:jc w:val="both"/>
        <w:rPr>
          <w:sz w:val="24"/>
          <w:szCs w:val="24"/>
          <w:lang w:val="sr-Cyrl-RS"/>
        </w:rPr>
      </w:pPr>
    </w:p>
    <w:p w:rsidR="005F3560" w:rsidRDefault="005F3560" w:rsidP="00050FD8">
      <w:pPr>
        <w:spacing w:after="0"/>
        <w:jc w:val="both"/>
        <w:rPr>
          <w:sz w:val="24"/>
          <w:szCs w:val="24"/>
          <w:lang w:val="sr-Cyrl-RS"/>
        </w:rPr>
      </w:pPr>
    </w:p>
    <w:p w:rsidR="005F3560" w:rsidRDefault="005F3560" w:rsidP="00050FD8">
      <w:pPr>
        <w:spacing w:after="0"/>
        <w:jc w:val="both"/>
        <w:rPr>
          <w:sz w:val="24"/>
          <w:szCs w:val="24"/>
          <w:lang w:val="sr-Cyrl-RS"/>
        </w:rPr>
      </w:pPr>
    </w:p>
    <w:p w:rsidR="005F3560" w:rsidRDefault="005F3560" w:rsidP="00050FD8">
      <w:pPr>
        <w:spacing w:after="0"/>
        <w:jc w:val="both"/>
        <w:rPr>
          <w:sz w:val="24"/>
          <w:szCs w:val="24"/>
          <w:lang w:val="sr-Cyrl-RS"/>
        </w:rPr>
      </w:pPr>
    </w:p>
    <w:p w:rsidR="005F3560" w:rsidRDefault="005F3560" w:rsidP="00050FD8">
      <w:pPr>
        <w:spacing w:after="0"/>
        <w:jc w:val="both"/>
        <w:rPr>
          <w:sz w:val="24"/>
          <w:szCs w:val="24"/>
          <w:lang w:val="sr-Cyrl-RS"/>
        </w:rPr>
      </w:pPr>
    </w:p>
    <w:p w:rsidR="005F3560" w:rsidRDefault="005F3560" w:rsidP="00050FD8">
      <w:pPr>
        <w:spacing w:after="0"/>
        <w:jc w:val="both"/>
        <w:rPr>
          <w:sz w:val="24"/>
          <w:szCs w:val="24"/>
          <w:lang w:val="sr-Cyrl-RS"/>
        </w:rPr>
      </w:pPr>
    </w:p>
    <w:p w:rsidR="005F3560" w:rsidRDefault="005F3560" w:rsidP="00050FD8">
      <w:pPr>
        <w:spacing w:after="0"/>
        <w:jc w:val="both"/>
        <w:rPr>
          <w:sz w:val="24"/>
          <w:szCs w:val="24"/>
          <w:lang w:val="sr-Cyrl-RS"/>
        </w:rPr>
      </w:pPr>
    </w:p>
    <w:p w:rsidR="005F3560" w:rsidRPr="00050FD8" w:rsidRDefault="005F3560" w:rsidP="00050FD8">
      <w:pPr>
        <w:spacing w:after="0"/>
        <w:jc w:val="both"/>
        <w:rPr>
          <w:sz w:val="24"/>
          <w:szCs w:val="24"/>
          <w:lang w:val="sr-Cyrl-RS"/>
        </w:rPr>
      </w:pPr>
    </w:p>
    <w:p w:rsidR="00DA2A47" w:rsidRPr="00DA2A47" w:rsidRDefault="00DA2A47" w:rsidP="00FA5D96">
      <w:pPr>
        <w:spacing w:after="0"/>
        <w:ind w:firstLine="708"/>
        <w:jc w:val="both"/>
        <w:rPr>
          <w:b/>
          <w:sz w:val="24"/>
          <w:szCs w:val="24"/>
          <w:lang w:val="sr-Cyrl-RS"/>
        </w:rPr>
      </w:pPr>
      <w:r w:rsidRPr="00DA2A47">
        <w:rPr>
          <w:b/>
          <w:sz w:val="24"/>
          <w:szCs w:val="24"/>
          <w:lang w:val="sr-Cyrl-RS"/>
        </w:rPr>
        <w:t>2.2. Недостатак информација</w:t>
      </w:r>
      <w:r w:rsidR="004E3FA8">
        <w:rPr>
          <w:b/>
          <w:sz w:val="24"/>
          <w:szCs w:val="24"/>
          <w:lang w:val="sr-Cyrl-RS"/>
        </w:rPr>
        <w:t xml:space="preserve"> и недовољно комуникације са наручиоцима</w:t>
      </w:r>
    </w:p>
    <w:p w:rsidR="00DA2A47" w:rsidRDefault="00DA2A47" w:rsidP="00FA5D96">
      <w:pPr>
        <w:spacing w:after="0"/>
        <w:ind w:firstLine="708"/>
        <w:jc w:val="both"/>
        <w:rPr>
          <w:sz w:val="24"/>
          <w:szCs w:val="24"/>
          <w:lang w:val="sr-Cyrl-RS"/>
        </w:rPr>
      </w:pPr>
    </w:p>
    <w:p w:rsidR="006E49A9" w:rsidRDefault="00E76116" w:rsidP="00FA5D96">
      <w:pPr>
        <w:spacing w:after="0"/>
        <w:ind w:firstLine="708"/>
        <w:jc w:val="both"/>
        <w:rPr>
          <w:sz w:val="24"/>
          <w:szCs w:val="24"/>
          <w:lang w:val="sr-Cyrl-RS"/>
        </w:rPr>
      </w:pPr>
      <w:r>
        <w:rPr>
          <w:sz w:val="24"/>
          <w:szCs w:val="24"/>
          <w:lang w:val="sr-Cyrl-RS"/>
        </w:rPr>
        <w:t>Велики проблем за М</w:t>
      </w:r>
      <w:r w:rsidR="00815778">
        <w:rPr>
          <w:sz w:val="24"/>
          <w:szCs w:val="24"/>
          <w:lang w:val="sr-Cyrl-RS"/>
        </w:rPr>
        <w:t>М</w:t>
      </w:r>
      <w:r>
        <w:rPr>
          <w:sz w:val="24"/>
          <w:szCs w:val="24"/>
          <w:lang w:val="sr-Cyrl-RS"/>
        </w:rPr>
        <w:t>СП може представљати недостатак потребних информација у вези са поступцима јавних набавки (где могу наћи огласе о јавним набавкама, како да преузимају конкурсну документацију, шта је неопходно за припрему понуде, како да ступе у контакт са наручиоцима). ЗЈН је баш због тога предвидео објављивање свих огласа и конкурсних документација на Порталу јавних набавки</w:t>
      </w:r>
      <w:r w:rsidR="00DA2A47">
        <w:rPr>
          <w:sz w:val="24"/>
          <w:szCs w:val="24"/>
          <w:lang w:val="sr-Cyrl-RS"/>
        </w:rPr>
        <w:t xml:space="preserve"> (</w:t>
      </w:r>
      <w:hyperlink r:id="rId11" w:history="1">
        <w:r w:rsidR="00DA2A47" w:rsidRPr="00AA15F0">
          <w:rPr>
            <w:rStyle w:val="Hyperlink"/>
            <w:sz w:val="24"/>
            <w:szCs w:val="24"/>
          </w:rPr>
          <w:t>www.ujn.gov.rs</w:t>
        </w:r>
      </w:hyperlink>
      <w:r w:rsidR="00DA2A47">
        <w:rPr>
          <w:sz w:val="24"/>
          <w:szCs w:val="24"/>
        </w:rPr>
        <w:t xml:space="preserve">) </w:t>
      </w:r>
      <w:r>
        <w:rPr>
          <w:sz w:val="24"/>
          <w:szCs w:val="24"/>
          <w:lang w:val="sr-Cyrl-RS"/>
        </w:rPr>
        <w:t>и интернет страницама наручилаца. Преузимање докумената је бесплатно, а што је најважније све информације и сва документација у вези конкретн</w:t>
      </w:r>
      <w:r w:rsidR="00697278">
        <w:rPr>
          <w:sz w:val="24"/>
          <w:szCs w:val="24"/>
          <w:lang w:val="sr-Cyrl-RS"/>
        </w:rPr>
        <w:t>е набавке су лако доступне и М</w:t>
      </w:r>
      <w:r w:rsidR="00201EDB">
        <w:rPr>
          <w:sz w:val="24"/>
          <w:szCs w:val="24"/>
          <w:lang w:val="sr-Cyrl-RS"/>
        </w:rPr>
        <w:t>М</w:t>
      </w:r>
      <w:r w:rsidR="00697278">
        <w:rPr>
          <w:sz w:val="24"/>
          <w:szCs w:val="24"/>
          <w:lang w:val="sr-Cyrl-RS"/>
        </w:rPr>
        <w:t>С</w:t>
      </w:r>
      <w:r>
        <w:rPr>
          <w:sz w:val="24"/>
          <w:szCs w:val="24"/>
          <w:lang w:val="sr-Cyrl-RS"/>
        </w:rPr>
        <w:t xml:space="preserve">П. Поред тога што се објављују набавке велике вредности, наручиоци су у обавези и да објаве поступке јавне набавке мале вредности. </w:t>
      </w:r>
      <w:r w:rsidR="006E49A9" w:rsidRPr="006E49A9">
        <w:rPr>
          <w:sz w:val="24"/>
          <w:szCs w:val="24"/>
          <w:lang w:val="sr-Cyrl-RS"/>
        </w:rPr>
        <w:t>То су врло чест</w:t>
      </w:r>
      <w:r w:rsidR="00697278">
        <w:rPr>
          <w:sz w:val="24"/>
          <w:szCs w:val="24"/>
          <w:lang w:val="sr-Cyrl-RS"/>
        </w:rPr>
        <w:t>о поступци за које су управо М</w:t>
      </w:r>
      <w:r w:rsidR="00201EDB">
        <w:rPr>
          <w:sz w:val="24"/>
          <w:szCs w:val="24"/>
          <w:lang w:val="sr-Cyrl-RS"/>
        </w:rPr>
        <w:t>МС</w:t>
      </w:r>
      <w:r w:rsidR="006E49A9" w:rsidRPr="006E49A9">
        <w:rPr>
          <w:sz w:val="24"/>
          <w:szCs w:val="24"/>
          <w:lang w:val="sr-Cyrl-RS"/>
        </w:rPr>
        <w:t>П и заинтересована. Приступ Порталу јавних набавки је једностав</w:t>
      </w:r>
      <w:r w:rsidR="005F3560">
        <w:rPr>
          <w:sz w:val="24"/>
          <w:szCs w:val="24"/>
          <w:lang w:val="sr-Cyrl-RS"/>
        </w:rPr>
        <w:t>а</w:t>
      </w:r>
      <w:r w:rsidR="006E49A9" w:rsidRPr="006E49A9">
        <w:rPr>
          <w:sz w:val="24"/>
          <w:szCs w:val="24"/>
          <w:lang w:val="sr-Cyrl-RS"/>
        </w:rPr>
        <w:t>н и није потребна претходна регистрација понуђача.</w:t>
      </w:r>
    </w:p>
    <w:p w:rsidR="006E49A9" w:rsidRDefault="006E49A9" w:rsidP="00FA5D96">
      <w:pPr>
        <w:spacing w:after="0"/>
        <w:ind w:firstLine="708"/>
        <w:jc w:val="both"/>
        <w:rPr>
          <w:sz w:val="24"/>
          <w:szCs w:val="24"/>
          <w:lang w:val="sr-Cyrl-RS"/>
        </w:rPr>
      </w:pPr>
    </w:p>
    <w:p w:rsidR="006E49A9" w:rsidRDefault="006E49A9" w:rsidP="00FA5D96">
      <w:pPr>
        <w:spacing w:after="0"/>
        <w:ind w:firstLine="708"/>
        <w:jc w:val="both"/>
        <w:rPr>
          <w:sz w:val="24"/>
          <w:szCs w:val="24"/>
          <w:lang w:val="sr-Cyrl-RS"/>
        </w:rPr>
      </w:pPr>
      <w:r w:rsidRPr="000B0687">
        <w:rPr>
          <w:rFonts w:ascii="Times New Roman" w:hAnsi="Times New Roman" w:cs="Times New Roman"/>
          <w:noProof/>
          <w:sz w:val="24"/>
          <w:szCs w:val="24"/>
          <w:lang w:val="sr-Cyrl-ME" w:eastAsia="sr-Cyrl-ME"/>
        </w:rPr>
        <w:drawing>
          <wp:inline distT="0" distB="0" distL="0" distR="0" wp14:anchorId="59F1E7AB" wp14:editId="305177D8">
            <wp:extent cx="4810760" cy="4309745"/>
            <wp:effectExtent l="0" t="0" r="8890" b="0"/>
            <wp:docPr id="5" name="Picture 5" descr="C:\Users\bokanda.UJN\Desktop\NOVI ZJN\SEMINARI\SUK, jun 2013\danije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kanda.UJN\Desktop\NOVI ZJN\SEMINARI\SUK, jun 2013\danijela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0760" cy="4309745"/>
                    </a:xfrm>
                    <a:prstGeom prst="rect">
                      <a:avLst/>
                    </a:prstGeom>
                    <a:noFill/>
                    <a:ln>
                      <a:noFill/>
                    </a:ln>
                  </pic:spPr>
                </pic:pic>
              </a:graphicData>
            </a:graphic>
          </wp:inline>
        </w:drawing>
      </w:r>
    </w:p>
    <w:p w:rsidR="006E49A9" w:rsidRDefault="006E49A9" w:rsidP="006E49A9">
      <w:pPr>
        <w:spacing w:after="0"/>
        <w:jc w:val="both"/>
        <w:rPr>
          <w:sz w:val="24"/>
          <w:szCs w:val="24"/>
          <w:lang w:val="sr-Cyrl-RS"/>
        </w:rPr>
      </w:pPr>
    </w:p>
    <w:p w:rsidR="00184727" w:rsidRDefault="00DA2A47" w:rsidP="00FA5D96">
      <w:pPr>
        <w:spacing w:after="0"/>
        <w:ind w:firstLine="708"/>
        <w:jc w:val="both"/>
        <w:rPr>
          <w:sz w:val="24"/>
          <w:szCs w:val="24"/>
          <w:lang w:val="sr-Cyrl-RS"/>
        </w:rPr>
      </w:pPr>
      <w:r>
        <w:rPr>
          <w:sz w:val="24"/>
          <w:szCs w:val="24"/>
          <w:lang w:val="sr-Cyrl-RS"/>
        </w:rPr>
        <w:t>На Порталу јавних набавки могу се претраживати:</w:t>
      </w:r>
    </w:p>
    <w:p w:rsidR="00184727" w:rsidRDefault="00184727" w:rsidP="00FA5D96">
      <w:pPr>
        <w:spacing w:after="0"/>
        <w:ind w:firstLine="708"/>
        <w:jc w:val="both"/>
        <w:rPr>
          <w:sz w:val="24"/>
          <w:szCs w:val="24"/>
          <w:lang w:val="sr-Cyrl-RS"/>
        </w:rPr>
      </w:pPr>
      <w:r>
        <w:rPr>
          <w:sz w:val="24"/>
          <w:szCs w:val="24"/>
          <w:lang w:val="sr-Cyrl-RS"/>
        </w:rPr>
        <w:t>-  сви огласи о јавним набавкама;</w:t>
      </w:r>
    </w:p>
    <w:p w:rsidR="00184727" w:rsidRDefault="00184727" w:rsidP="00FA5D96">
      <w:pPr>
        <w:spacing w:after="0"/>
        <w:ind w:firstLine="708"/>
        <w:jc w:val="both"/>
        <w:rPr>
          <w:sz w:val="24"/>
          <w:szCs w:val="24"/>
          <w:lang w:val="sr-Cyrl-RS"/>
        </w:rPr>
      </w:pPr>
      <w:r>
        <w:rPr>
          <w:sz w:val="24"/>
          <w:szCs w:val="24"/>
          <w:lang w:val="sr-Cyrl-RS"/>
        </w:rPr>
        <w:lastRenderedPageBreak/>
        <w:t>- све конкурсне документације, као и измене и допуне конкурсних документација;</w:t>
      </w:r>
    </w:p>
    <w:p w:rsidR="00184727" w:rsidRDefault="00184727" w:rsidP="00FA5D96">
      <w:pPr>
        <w:spacing w:after="0"/>
        <w:ind w:firstLine="708"/>
        <w:jc w:val="both"/>
        <w:rPr>
          <w:sz w:val="24"/>
          <w:szCs w:val="24"/>
          <w:lang w:val="sr-Cyrl-RS"/>
        </w:rPr>
      </w:pPr>
      <w:r>
        <w:rPr>
          <w:sz w:val="24"/>
          <w:szCs w:val="24"/>
          <w:lang w:val="sr-Cyrl-RS"/>
        </w:rPr>
        <w:t xml:space="preserve">- </w:t>
      </w:r>
      <w:r w:rsidRPr="00184727">
        <w:rPr>
          <w:sz w:val="24"/>
          <w:szCs w:val="24"/>
          <w:lang w:val="sr-Cyrl-RS"/>
        </w:rPr>
        <w:t>мишљења Управе за јавне набавке о основаности</w:t>
      </w:r>
      <w:r>
        <w:rPr>
          <w:sz w:val="24"/>
          <w:szCs w:val="24"/>
          <w:lang w:val="sr-Cyrl-RS"/>
        </w:rPr>
        <w:t xml:space="preserve"> примене преговарачког поступка;</w:t>
      </w:r>
    </w:p>
    <w:p w:rsidR="00184727" w:rsidRDefault="00184727" w:rsidP="00FA5D96">
      <w:pPr>
        <w:spacing w:after="0"/>
        <w:ind w:firstLine="708"/>
        <w:jc w:val="both"/>
        <w:rPr>
          <w:sz w:val="24"/>
          <w:szCs w:val="24"/>
          <w:lang w:val="sr-Cyrl-RS"/>
        </w:rPr>
      </w:pPr>
      <w:r>
        <w:rPr>
          <w:sz w:val="24"/>
          <w:szCs w:val="24"/>
          <w:lang w:val="sr-Cyrl-RS"/>
        </w:rPr>
        <w:t>-</w:t>
      </w:r>
      <w:r w:rsidRPr="00184727">
        <w:rPr>
          <w:sz w:val="24"/>
          <w:szCs w:val="24"/>
          <w:lang w:val="sr-Cyrl-RS"/>
        </w:rPr>
        <w:t xml:space="preserve"> </w:t>
      </w:r>
      <w:r w:rsidR="00B12554">
        <w:rPr>
          <w:sz w:val="24"/>
          <w:szCs w:val="24"/>
          <w:lang w:val="sr-Cyrl-RS"/>
        </w:rPr>
        <w:t>одлуке које наручиоци доносе у поступку јавне набавке</w:t>
      </w:r>
      <w:r>
        <w:rPr>
          <w:sz w:val="24"/>
          <w:szCs w:val="24"/>
          <w:lang w:val="sr-Cyrl-RS"/>
        </w:rPr>
        <w:t>;</w:t>
      </w:r>
    </w:p>
    <w:p w:rsidR="00184727" w:rsidRDefault="00184727" w:rsidP="00B12554">
      <w:pPr>
        <w:spacing w:after="0"/>
        <w:ind w:firstLine="708"/>
        <w:jc w:val="both"/>
        <w:rPr>
          <w:sz w:val="24"/>
          <w:szCs w:val="24"/>
          <w:lang w:val="sr-Cyrl-RS"/>
        </w:rPr>
      </w:pPr>
      <w:r>
        <w:rPr>
          <w:sz w:val="24"/>
          <w:szCs w:val="24"/>
          <w:lang w:val="sr-Cyrl-RS"/>
        </w:rPr>
        <w:t xml:space="preserve">- </w:t>
      </w:r>
      <w:r w:rsidR="00B12554">
        <w:rPr>
          <w:sz w:val="24"/>
          <w:szCs w:val="24"/>
          <w:lang w:val="sr-Cyrl-RS"/>
        </w:rPr>
        <w:t>планови јавних набавки;</w:t>
      </w:r>
    </w:p>
    <w:p w:rsidR="00B12554" w:rsidRDefault="00B12554" w:rsidP="00B12554">
      <w:pPr>
        <w:spacing w:after="0"/>
        <w:ind w:firstLine="708"/>
        <w:jc w:val="both"/>
        <w:rPr>
          <w:sz w:val="24"/>
          <w:szCs w:val="24"/>
          <w:lang w:val="sr-Cyrl-RS"/>
        </w:rPr>
      </w:pPr>
      <w:r>
        <w:rPr>
          <w:sz w:val="24"/>
          <w:szCs w:val="24"/>
          <w:lang w:val="sr-Cyrl-RS"/>
        </w:rPr>
        <w:t>- јавни уговори;</w:t>
      </w:r>
    </w:p>
    <w:p w:rsidR="00184727" w:rsidRDefault="00184727" w:rsidP="00FA5D96">
      <w:pPr>
        <w:spacing w:after="0"/>
        <w:ind w:firstLine="708"/>
        <w:jc w:val="both"/>
        <w:rPr>
          <w:sz w:val="24"/>
          <w:szCs w:val="24"/>
          <w:lang w:val="sr-Cyrl-RS"/>
        </w:rPr>
      </w:pPr>
      <w:r>
        <w:rPr>
          <w:sz w:val="24"/>
          <w:szCs w:val="24"/>
          <w:lang w:val="sr-Cyrl-RS"/>
        </w:rPr>
        <w:t>- одлуке Републичке комисије за заштиту права у поступцима јавних набавки;</w:t>
      </w:r>
    </w:p>
    <w:p w:rsidR="00184727" w:rsidRDefault="00184727" w:rsidP="00FA5D96">
      <w:pPr>
        <w:spacing w:after="0"/>
        <w:ind w:firstLine="708"/>
        <w:jc w:val="both"/>
        <w:rPr>
          <w:sz w:val="24"/>
          <w:szCs w:val="24"/>
          <w:lang w:val="sr-Cyrl-RS"/>
        </w:rPr>
      </w:pPr>
      <w:r>
        <w:rPr>
          <w:sz w:val="24"/>
          <w:szCs w:val="24"/>
          <w:lang w:val="sr-Cyrl-RS"/>
        </w:rPr>
        <w:t>- извештаји о уговореним јавним набавкама (уз претрагу и преглед уговорених јавних набавки велике и мале вредности, разлога за обуставу поступка, исхода спроведених јавних набавки, изузетих јавних набавки)</w:t>
      </w:r>
      <w:r w:rsidR="00773807">
        <w:rPr>
          <w:sz w:val="24"/>
          <w:szCs w:val="24"/>
          <w:lang w:val="sr-Cyrl-RS"/>
        </w:rPr>
        <w:t>.</w:t>
      </w:r>
    </w:p>
    <w:p w:rsidR="00184727" w:rsidRDefault="00295019" w:rsidP="00295019">
      <w:pPr>
        <w:spacing w:after="0"/>
        <w:ind w:firstLine="708"/>
        <w:jc w:val="both"/>
        <w:rPr>
          <w:sz w:val="24"/>
          <w:szCs w:val="24"/>
          <w:lang w:val="sr-Cyrl-RS"/>
        </w:rPr>
      </w:pPr>
      <w:r>
        <w:rPr>
          <w:sz w:val="24"/>
          <w:szCs w:val="24"/>
          <w:lang w:val="sr-Cyrl-RS"/>
        </w:rPr>
        <w:t xml:space="preserve">Постоји и корисничко упутство које је од значаја за претрагу Портала. </w:t>
      </w:r>
      <w:r w:rsidR="00773807">
        <w:rPr>
          <w:sz w:val="24"/>
          <w:szCs w:val="24"/>
          <w:lang w:val="sr-Cyrl-RS"/>
        </w:rPr>
        <w:t>Н</w:t>
      </w:r>
      <w:r w:rsidR="00773807" w:rsidRPr="00773807">
        <w:rPr>
          <w:sz w:val="24"/>
          <w:szCs w:val="24"/>
          <w:lang w:val="sr-Cyrl-RS"/>
        </w:rPr>
        <w:t>а Порталу је знатно уна</w:t>
      </w:r>
      <w:r w:rsidR="00773807">
        <w:rPr>
          <w:sz w:val="24"/>
          <w:szCs w:val="24"/>
          <w:lang w:val="sr-Cyrl-RS"/>
        </w:rPr>
        <w:t>пређена претрага јавних набавки</w:t>
      </w:r>
      <w:r w:rsidR="00045E3F">
        <w:rPr>
          <w:sz w:val="24"/>
          <w:szCs w:val="24"/>
          <w:lang w:val="sr-Cyrl-RS"/>
        </w:rPr>
        <w:t xml:space="preserve">. </w:t>
      </w:r>
      <w:r w:rsidR="00045E3F" w:rsidRPr="00045E3F">
        <w:rPr>
          <w:rFonts w:eastAsia="MS Mincho"/>
          <w:bCs/>
          <w:sz w:val="24"/>
          <w:szCs w:val="24"/>
          <w:lang w:val="sr-Cyrl-CS"/>
        </w:rPr>
        <w:t>Крајем септембра</w:t>
      </w:r>
      <w:r w:rsidR="00045E3F">
        <w:rPr>
          <w:rFonts w:eastAsia="MS Mincho"/>
          <w:bCs/>
          <w:sz w:val="24"/>
          <w:szCs w:val="24"/>
          <w:lang w:val="sr-Cyrl-CS"/>
        </w:rPr>
        <w:t xml:space="preserve"> 2015. године</w:t>
      </w:r>
      <w:r w:rsidR="00045E3F" w:rsidRPr="00045E3F">
        <w:rPr>
          <w:rFonts w:eastAsia="MS Mincho"/>
          <w:bCs/>
          <w:sz w:val="24"/>
          <w:szCs w:val="24"/>
          <w:lang w:val="sr-Cyrl-CS"/>
        </w:rPr>
        <w:t>, стављене су у функцију нове опције: објављивање планова и измена планова набавки наручилаца, унапређена је претрага Портала новом опцијом "брза претрага", урађена је верзија Портала на енглеском језику, постављен је регистар јавних уговора, унапређен је интерни систем за извештавање са Портала</w:t>
      </w:r>
      <w:r w:rsidR="00045E3F">
        <w:rPr>
          <w:rFonts w:eastAsia="MS Mincho"/>
          <w:bCs/>
          <w:sz w:val="24"/>
          <w:szCs w:val="24"/>
          <w:lang w:val="sr-Cyrl-CS"/>
        </w:rPr>
        <w:t>, а што је предвиђено Стратегијом развоја</w:t>
      </w:r>
      <w:r w:rsidR="00045E3F">
        <w:rPr>
          <w:sz w:val="24"/>
          <w:szCs w:val="24"/>
          <w:lang w:val="sr-Cyrl-RS"/>
        </w:rPr>
        <w:t xml:space="preserve"> јавних набавки у Републици Србији за период 2014-2018. године и Акционим планом за 2015. годину</w:t>
      </w:r>
      <w:r w:rsidR="00045E3F">
        <w:rPr>
          <w:rStyle w:val="FootnoteReference"/>
          <w:sz w:val="24"/>
          <w:szCs w:val="24"/>
          <w:lang w:val="sr-Cyrl-RS"/>
        </w:rPr>
        <w:footnoteReference w:id="12"/>
      </w:r>
      <w:r w:rsidR="00045E3F" w:rsidRPr="00045E3F">
        <w:rPr>
          <w:rFonts w:eastAsia="MS Mincho"/>
          <w:bCs/>
          <w:sz w:val="24"/>
          <w:szCs w:val="24"/>
          <w:lang w:val="sr-Cyrl-CS"/>
        </w:rPr>
        <w:t>.</w:t>
      </w:r>
      <w:r w:rsidR="00045E3F">
        <w:rPr>
          <w:rFonts w:eastAsia="MS Mincho"/>
          <w:bCs/>
          <w:sz w:val="24"/>
          <w:szCs w:val="24"/>
          <w:lang w:val="sr-Cyrl-CS"/>
        </w:rPr>
        <w:t xml:space="preserve"> </w:t>
      </w:r>
    </w:p>
    <w:p w:rsidR="006E49A9" w:rsidRDefault="00A77426" w:rsidP="00697278">
      <w:pPr>
        <w:spacing w:after="0"/>
        <w:ind w:firstLine="708"/>
        <w:jc w:val="both"/>
        <w:rPr>
          <w:sz w:val="24"/>
          <w:szCs w:val="24"/>
          <w:lang w:val="sr-Cyrl-RS"/>
        </w:rPr>
      </w:pPr>
      <w:r>
        <w:rPr>
          <w:sz w:val="24"/>
          <w:szCs w:val="24"/>
          <w:lang w:val="sr-Cyrl-RS"/>
        </w:rPr>
        <w:t>Такође, М</w:t>
      </w:r>
      <w:r w:rsidR="00045E3F">
        <w:rPr>
          <w:sz w:val="24"/>
          <w:szCs w:val="24"/>
          <w:lang w:val="sr-Cyrl-RS"/>
        </w:rPr>
        <w:t>МС</w:t>
      </w:r>
      <w:r w:rsidR="00F5334B">
        <w:rPr>
          <w:sz w:val="24"/>
          <w:szCs w:val="24"/>
          <w:lang w:val="sr-Cyrl-RS"/>
        </w:rPr>
        <w:t>П имају могућност да за одређене нејасноће у вези са применом ЗЈН добију одговоре од Управе за јавне набавке на једноставан и брз начин путем телефона</w:t>
      </w:r>
      <w:r w:rsidR="00045E3F">
        <w:rPr>
          <w:sz w:val="24"/>
          <w:szCs w:val="24"/>
          <w:lang w:val="sr-Cyrl-RS"/>
        </w:rPr>
        <w:t xml:space="preserve">, </w:t>
      </w:r>
      <w:r w:rsidR="00045E3F">
        <w:rPr>
          <w:sz w:val="24"/>
          <w:szCs w:val="24"/>
        </w:rPr>
        <w:t>e-maila</w:t>
      </w:r>
      <w:r w:rsidR="00F5334B">
        <w:rPr>
          <w:sz w:val="24"/>
          <w:szCs w:val="24"/>
          <w:lang w:val="sr-Cyrl-RS"/>
        </w:rPr>
        <w:t xml:space="preserve"> или писаним захтевом</w:t>
      </w:r>
      <w:r w:rsidR="00F02119">
        <w:rPr>
          <w:rStyle w:val="FootnoteReference"/>
          <w:sz w:val="24"/>
          <w:szCs w:val="24"/>
          <w:lang w:val="sr-Cyrl-RS"/>
        </w:rPr>
        <w:footnoteReference w:id="13"/>
      </w:r>
      <w:r w:rsidR="00F5334B">
        <w:rPr>
          <w:sz w:val="24"/>
          <w:szCs w:val="24"/>
          <w:lang w:val="sr-Cyrl-RS"/>
        </w:rPr>
        <w:t xml:space="preserve">. </w:t>
      </w:r>
      <w:r w:rsidR="00867801">
        <w:rPr>
          <w:sz w:val="24"/>
          <w:szCs w:val="24"/>
          <w:lang w:val="sr-Cyrl-RS"/>
        </w:rPr>
        <w:t>Слична решења постоје и у земљама ЕУ. У Бугарској је предвиђено да експерти из Агенције за јавне набавке</w:t>
      </w:r>
      <w:r w:rsidR="00F5334B">
        <w:rPr>
          <w:sz w:val="24"/>
          <w:szCs w:val="24"/>
          <w:lang w:val="sr-Cyrl-RS"/>
        </w:rPr>
        <w:t xml:space="preserve"> </w:t>
      </w:r>
      <w:r w:rsidR="00867801">
        <w:rPr>
          <w:sz w:val="24"/>
          <w:szCs w:val="24"/>
          <w:lang w:val="sr-Cyrl-RS"/>
        </w:rPr>
        <w:t>дају савете путем телефона, док је у Италији у оквиру њиховог тела за централизоване набавке (</w:t>
      </w:r>
      <w:r w:rsidR="00867801">
        <w:rPr>
          <w:sz w:val="24"/>
          <w:szCs w:val="24"/>
        </w:rPr>
        <w:t>CONSIP)</w:t>
      </w:r>
      <w:r w:rsidR="00867801">
        <w:rPr>
          <w:sz w:val="24"/>
          <w:szCs w:val="24"/>
          <w:lang w:val="sr-Cyrl-RS"/>
        </w:rPr>
        <w:t>, предвиђен проје</w:t>
      </w:r>
      <w:r w:rsidR="006C2904">
        <w:rPr>
          <w:sz w:val="24"/>
          <w:szCs w:val="24"/>
          <w:lang w:val="sr-Cyrl-RS"/>
        </w:rPr>
        <w:t xml:space="preserve">кат који се односи на стварање </w:t>
      </w:r>
      <w:r w:rsidR="00867801">
        <w:rPr>
          <w:sz w:val="24"/>
          <w:szCs w:val="24"/>
          <w:lang w:val="en-US"/>
        </w:rPr>
        <w:t>help</w:t>
      </w:r>
      <w:r w:rsidR="00867801">
        <w:rPr>
          <w:sz w:val="24"/>
          <w:szCs w:val="24"/>
          <w:lang w:val="sr-Cyrl-RS"/>
        </w:rPr>
        <w:t>-</w:t>
      </w:r>
      <w:r w:rsidR="00867801">
        <w:rPr>
          <w:sz w:val="24"/>
          <w:szCs w:val="24"/>
          <w:lang w:val="en-US"/>
        </w:rPr>
        <w:t>desk</w:t>
      </w:r>
      <w:r w:rsidR="006C2904">
        <w:rPr>
          <w:sz w:val="24"/>
          <w:szCs w:val="24"/>
          <w:lang w:val="sr-Cyrl-RS"/>
        </w:rPr>
        <w:t>-а</w:t>
      </w:r>
      <w:r w:rsidR="00867801">
        <w:rPr>
          <w:sz w:val="24"/>
          <w:szCs w:val="24"/>
          <w:lang w:val="sr-Cyrl-RS"/>
        </w:rPr>
        <w:t xml:space="preserve"> који ће пом</w:t>
      </w:r>
      <w:r>
        <w:rPr>
          <w:sz w:val="24"/>
          <w:szCs w:val="24"/>
          <w:lang w:val="sr-Cyrl-RS"/>
        </w:rPr>
        <w:t>агати компанијама</w:t>
      </w:r>
      <w:r w:rsidR="00697278">
        <w:rPr>
          <w:sz w:val="24"/>
          <w:szCs w:val="24"/>
          <w:lang w:val="sr-Cyrl-RS"/>
        </w:rPr>
        <w:t>,</w:t>
      </w:r>
      <w:r>
        <w:rPr>
          <w:sz w:val="24"/>
          <w:szCs w:val="24"/>
          <w:lang w:val="sr-Cyrl-RS"/>
        </w:rPr>
        <w:t xml:space="preserve"> а нарочито М</w:t>
      </w:r>
      <w:r w:rsidR="00B926EE">
        <w:rPr>
          <w:sz w:val="24"/>
          <w:szCs w:val="24"/>
          <w:lang w:val="sr-Cyrl-RS"/>
        </w:rPr>
        <w:t>МС</w:t>
      </w:r>
      <w:r w:rsidR="00867801">
        <w:rPr>
          <w:sz w:val="24"/>
          <w:szCs w:val="24"/>
          <w:lang w:val="sr-Cyrl-RS"/>
        </w:rPr>
        <w:t>П како би се повећало њихово учешће у поступцима јавних набавки</w:t>
      </w:r>
      <w:r w:rsidR="00773807">
        <w:rPr>
          <w:rStyle w:val="FootnoteReference"/>
          <w:sz w:val="24"/>
          <w:szCs w:val="24"/>
          <w:lang w:val="sr-Cyrl-RS"/>
        </w:rPr>
        <w:footnoteReference w:id="14"/>
      </w:r>
      <w:r w:rsidR="00867801">
        <w:rPr>
          <w:sz w:val="24"/>
          <w:szCs w:val="24"/>
          <w:lang w:val="sr-Cyrl-RS"/>
        </w:rPr>
        <w:t xml:space="preserve">. У Летонији такође постоји јединствени </w:t>
      </w:r>
      <w:r w:rsidR="00867801">
        <w:rPr>
          <w:sz w:val="24"/>
          <w:szCs w:val="24"/>
        </w:rPr>
        <w:t xml:space="preserve">WEB </w:t>
      </w:r>
      <w:r w:rsidR="00867801">
        <w:rPr>
          <w:sz w:val="24"/>
          <w:szCs w:val="24"/>
          <w:lang w:val="sr-Cyrl-RS"/>
        </w:rPr>
        <w:t>Портал на којем се објављују процедуре, који је бесплатан и нуди информације на дневном нивоу</w:t>
      </w:r>
      <w:r w:rsidR="00773807">
        <w:rPr>
          <w:rStyle w:val="FootnoteReference"/>
          <w:sz w:val="24"/>
          <w:szCs w:val="24"/>
          <w:lang w:val="sr-Cyrl-RS"/>
        </w:rPr>
        <w:footnoteReference w:id="15"/>
      </w:r>
      <w:r w:rsidR="00867801">
        <w:rPr>
          <w:sz w:val="24"/>
          <w:szCs w:val="24"/>
          <w:lang w:val="sr-Cyrl-RS"/>
        </w:rPr>
        <w:t>.</w:t>
      </w:r>
      <w:r w:rsidR="008F5228">
        <w:rPr>
          <w:sz w:val="24"/>
          <w:szCs w:val="24"/>
          <w:lang w:val="sr-Cyrl-RS"/>
        </w:rPr>
        <w:t xml:space="preserve"> </w:t>
      </w:r>
    </w:p>
    <w:p w:rsidR="00B97639" w:rsidRPr="00B97639" w:rsidRDefault="00295019" w:rsidP="00B97639">
      <w:pPr>
        <w:spacing w:after="0"/>
        <w:ind w:firstLine="708"/>
        <w:jc w:val="both"/>
        <w:rPr>
          <w:sz w:val="24"/>
          <w:szCs w:val="24"/>
          <w:lang w:val="sr-Cyrl-RS"/>
        </w:rPr>
      </w:pPr>
      <w:r>
        <w:rPr>
          <w:sz w:val="24"/>
          <w:szCs w:val="24"/>
          <w:lang w:val="sr-Cyrl-RS"/>
        </w:rPr>
        <w:t>Б</w:t>
      </w:r>
      <w:r w:rsidR="00B97639" w:rsidRPr="00B97639">
        <w:rPr>
          <w:sz w:val="24"/>
          <w:szCs w:val="24"/>
          <w:lang w:val="sr-Cyrl-RS"/>
        </w:rPr>
        <w:t xml:space="preserve">удуће активности </w:t>
      </w:r>
      <w:r>
        <w:rPr>
          <w:sz w:val="24"/>
          <w:szCs w:val="24"/>
          <w:lang w:val="sr-Cyrl-RS"/>
        </w:rPr>
        <w:t>у делу електронских набавки највећим делом биће</w:t>
      </w:r>
      <w:r w:rsidR="00B97639" w:rsidRPr="00B97639">
        <w:rPr>
          <w:sz w:val="24"/>
          <w:szCs w:val="24"/>
          <w:lang w:val="sr-Cyrl-RS"/>
        </w:rPr>
        <w:t xml:space="preserve"> усмерене ка развоју система за електронско подношење понуда, и то кроз следеће фазе:</w:t>
      </w:r>
    </w:p>
    <w:p w:rsidR="00B97639" w:rsidRPr="00B97639" w:rsidRDefault="00B97639" w:rsidP="00B97639">
      <w:pPr>
        <w:spacing w:after="0"/>
        <w:ind w:firstLine="708"/>
        <w:jc w:val="both"/>
        <w:rPr>
          <w:sz w:val="24"/>
          <w:szCs w:val="24"/>
          <w:lang w:val="sr-Cyrl-RS"/>
        </w:rPr>
      </w:pPr>
      <w:r>
        <w:rPr>
          <w:sz w:val="24"/>
          <w:szCs w:val="24"/>
          <w:lang w:val="sr-Cyrl-RS"/>
        </w:rPr>
        <w:t xml:space="preserve">- </w:t>
      </w:r>
      <w:r w:rsidRPr="00B97639">
        <w:rPr>
          <w:sz w:val="24"/>
          <w:szCs w:val="24"/>
          <w:lang w:val="sr-Cyrl-RS"/>
        </w:rPr>
        <w:t>анализу потребних измена законодавног оквира везаног за примену електронских набавки;</w:t>
      </w:r>
    </w:p>
    <w:p w:rsidR="00B97639" w:rsidRPr="00B97639" w:rsidRDefault="00B97639" w:rsidP="00B97639">
      <w:pPr>
        <w:spacing w:after="0"/>
        <w:ind w:firstLine="708"/>
        <w:jc w:val="both"/>
        <w:rPr>
          <w:sz w:val="24"/>
          <w:szCs w:val="24"/>
          <w:lang w:val="sr-Cyrl-RS"/>
        </w:rPr>
      </w:pPr>
      <w:r>
        <w:rPr>
          <w:sz w:val="24"/>
          <w:szCs w:val="24"/>
          <w:lang w:val="sr-Cyrl-RS"/>
        </w:rPr>
        <w:t xml:space="preserve">- </w:t>
      </w:r>
      <w:r w:rsidRPr="00B97639">
        <w:rPr>
          <w:sz w:val="24"/>
          <w:szCs w:val="24"/>
          <w:lang w:val="sr-Cyrl-RS"/>
        </w:rPr>
        <w:t>анализу постојећег институционалног оквира у Републици Србији;</w:t>
      </w:r>
    </w:p>
    <w:p w:rsidR="00B97639" w:rsidRPr="00B97639" w:rsidRDefault="00B97639" w:rsidP="00B97639">
      <w:pPr>
        <w:spacing w:after="0"/>
        <w:ind w:firstLine="708"/>
        <w:jc w:val="both"/>
        <w:rPr>
          <w:sz w:val="24"/>
          <w:szCs w:val="24"/>
          <w:lang w:val="sr-Cyrl-RS"/>
        </w:rPr>
      </w:pPr>
      <w:r>
        <w:rPr>
          <w:sz w:val="24"/>
          <w:szCs w:val="24"/>
          <w:lang w:val="sr-Cyrl-RS"/>
        </w:rPr>
        <w:t xml:space="preserve">- </w:t>
      </w:r>
      <w:r w:rsidRPr="00B97639">
        <w:rPr>
          <w:sz w:val="24"/>
          <w:szCs w:val="24"/>
          <w:lang w:val="sr-Cyrl-RS"/>
        </w:rPr>
        <w:t>анализу техничких решења и опција које су у примени или се развијају у државама чланицама ЕУ;</w:t>
      </w:r>
    </w:p>
    <w:p w:rsidR="00B97639" w:rsidRPr="00B97639" w:rsidRDefault="00B97639" w:rsidP="00B97639">
      <w:pPr>
        <w:spacing w:after="0"/>
        <w:ind w:firstLine="708"/>
        <w:jc w:val="both"/>
        <w:rPr>
          <w:sz w:val="24"/>
          <w:szCs w:val="24"/>
          <w:lang w:val="sr-Cyrl-RS"/>
        </w:rPr>
      </w:pPr>
      <w:r>
        <w:rPr>
          <w:sz w:val="24"/>
          <w:szCs w:val="24"/>
          <w:lang w:val="sr-Cyrl-RS"/>
        </w:rPr>
        <w:lastRenderedPageBreak/>
        <w:t xml:space="preserve">- </w:t>
      </w:r>
      <w:r w:rsidRPr="00B97639">
        <w:rPr>
          <w:sz w:val="24"/>
          <w:szCs w:val="24"/>
          <w:lang w:val="sr-Cyrl-RS"/>
        </w:rPr>
        <w:t>одабир оптималног законског, институционалног и техничког модела прикладног за примену у Републици Србији;</w:t>
      </w:r>
    </w:p>
    <w:p w:rsidR="00B97639" w:rsidRPr="00B97639" w:rsidRDefault="00B97639" w:rsidP="00B97639">
      <w:pPr>
        <w:spacing w:after="0"/>
        <w:ind w:firstLine="708"/>
        <w:jc w:val="both"/>
        <w:rPr>
          <w:sz w:val="24"/>
          <w:szCs w:val="24"/>
          <w:lang w:val="sr-Cyrl-RS"/>
        </w:rPr>
      </w:pPr>
      <w:r>
        <w:rPr>
          <w:sz w:val="24"/>
          <w:szCs w:val="24"/>
          <w:lang w:val="sr-Cyrl-RS"/>
        </w:rPr>
        <w:t xml:space="preserve">- </w:t>
      </w:r>
      <w:r w:rsidRPr="00B97639">
        <w:rPr>
          <w:sz w:val="24"/>
          <w:szCs w:val="24"/>
          <w:lang w:val="sr-Cyrl-RS"/>
        </w:rPr>
        <w:t>припрему техничких решења, у складу са одабраним оптималним моделом;</w:t>
      </w:r>
    </w:p>
    <w:p w:rsidR="00B97639" w:rsidRDefault="00B97639" w:rsidP="00B97639">
      <w:pPr>
        <w:spacing w:after="0"/>
        <w:ind w:firstLine="708"/>
        <w:jc w:val="both"/>
        <w:rPr>
          <w:sz w:val="24"/>
          <w:szCs w:val="24"/>
          <w:lang w:val="sr-Cyrl-RS"/>
        </w:rPr>
      </w:pPr>
      <w:r>
        <w:rPr>
          <w:sz w:val="24"/>
          <w:szCs w:val="24"/>
          <w:lang w:val="sr-Cyrl-RS"/>
        </w:rPr>
        <w:t xml:space="preserve">- </w:t>
      </w:r>
      <w:r w:rsidRPr="00B97639">
        <w:rPr>
          <w:sz w:val="24"/>
          <w:szCs w:val="24"/>
          <w:lang w:val="sr-Cyrl-RS"/>
        </w:rPr>
        <w:t>развој и пуштање у рад нове платформе електронских јавних набавки.</w:t>
      </w:r>
    </w:p>
    <w:p w:rsidR="00B97639" w:rsidRPr="004E3FA8" w:rsidRDefault="00B97639" w:rsidP="00B97639">
      <w:pPr>
        <w:spacing w:after="0"/>
        <w:ind w:firstLine="708"/>
        <w:jc w:val="both"/>
        <w:rPr>
          <w:sz w:val="24"/>
          <w:szCs w:val="24"/>
          <w:lang w:val="sr-Cyrl-RS"/>
        </w:rPr>
      </w:pPr>
      <w:r w:rsidRPr="00B97639">
        <w:rPr>
          <w:sz w:val="24"/>
          <w:szCs w:val="24"/>
          <w:lang w:val="sr-Cyrl-RS"/>
        </w:rPr>
        <w:t>Крајњи циљ биће успостављање и функционисање јединствене, свеобухватне платформе електронских јавних набавки која би садржала све наведене кључне функционалности (е-оглашавање, е-комуникацију и подношење понуда, е-каталог, е-аукцију и е-систем динамичне набавке).</w:t>
      </w:r>
      <w:r w:rsidRPr="00B97639">
        <w:t xml:space="preserve"> </w:t>
      </w:r>
      <w:r>
        <w:rPr>
          <w:sz w:val="24"/>
          <w:szCs w:val="24"/>
          <w:lang w:val="sr-Cyrl-RS"/>
        </w:rPr>
        <w:t>П</w:t>
      </w:r>
      <w:r w:rsidRPr="00B97639">
        <w:rPr>
          <w:sz w:val="24"/>
          <w:szCs w:val="24"/>
          <w:lang w:val="sr-Cyrl-RS"/>
        </w:rPr>
        <w:t xml:space="preserve">риликом увођења електронских набавки морају </w:t>
      </w:r>
      <w:r w:rsidR="00295019">
        <w:rPr>
          <w:sz w:val="24"/>
          <w:szCs w:val="24"/>
          <w:lang w:val="sr-Cyrl-RS"/>
        </w:rPr>
        <w:t xml:space="preserve">се </w:t>
      </w:r>
      <w:r w:rsidRPr="00B97639">
        <w:rPr>
          <w:sz w:val="24"/>
          <w:szCs w:val="24"/>
          <w:lang w:val="sr-Cyrl-RS"/>
        </w:rPr>
        <w:t>користити искључиво такви информациони системи и технологије који су широко доступни свим заинтересованим лицима, и да при томе не сме постојати ограничење конкуренције, односно било који вид дискриминације учесника</w:t>
      </w:r>
      <w:r>
        <w:rPr>
          <w:sz w:val="24"/>
          <w:szCs w:val="24"/>
          <w:lang w:val="sr-Cyrl-RS"/>
        </w:rPr>
        <w:t xml:space="preserve">. Неке од наведених активности су </w:t>
      </w:r>
      <w:r w:rsidR="00295019">
        <w:rPr>
          <w:sz w:val="24"/>
          <w:szCs w:val="24"/>
          <w:lang w:val="sr-Cyrl-RS"/>
        </w:rPr>
        <w:t>урађене у трећем</w:t>
      </w:r>
      <w:r>
        <w:rPr>
          <w:sz w:val="24"/>
          <w:szCs w:val="24"/>
          <w:lang w:val="sr-Cyrl-RS"/>
        </w:rPr>
        <w:t xml:space="preserve"> квартал</w:t>
      </w:r>
      <w:r w:rsidR="00295019">
        <w:rPr>
          <w:sz w:val="24"/>
          <w:szCs w:val="24"/>
          <w:lang w:val="sr-Cyrl-RS"/>
        </w:rPr>
        <w:t>у 2015. године (</w:t>
      </w:r>
      <w:r>
        <w:rPr>
          <w:sz w:val="24"/>
          <w:szCs w:val="24"/>
          <w:lang w:val="sr-Cyrl-RS"/>
        </w:rPr>
        <w:t>а</w:t>
      </w:r>
      <w:r w:rsidRPr="00B97639">
        <w:rPr>
          <w:sz w:val="24"/>
          <w:szCs w:val="24"/>
          <w:lang w:val="sr-Cyrl-RS"/>
        </w:rPr>
        <w:t xml:space="preserve">нализа постојећег законодавног и институционалног оквира за примену електронских набавки у Републици Србији </w:t>
      </w:r>
      <w:r>
        <w:rPr>
          <w:sz w:val="24"/>
          <w:szCs w:val="24"/>
          <w:lang w:val="sr-Cyrl-RS"/>
        </w:rPr>
        <w:t>и а</w:t>
      </w:r>
      <w:r w:rsidRPr="00B97639">
        <w:rPr>
          <w:sz w:val="24"/>
          <w:szCs w:val="24"/>
          <w:lang w:val="sr-Cyrl-RS"/>
        </w:rPr>
        <w:t>нализа техничких решења и опција које су у примени или се развијају у државама чланицама ЕУ у области е-набавки</w:t>
      </w:r>
      <w:r w:rsidR="00295019">
        <w:rPr>
          <w:sz w:val="24"/>
          <w:szCs w:val="24"/>
          <w:lang w:val="sr-Cyrl-RS"/>
        </w:rPr>
        <w:t>,</w:t>
      </w:r>
      <w:r w:rsidRPr="00B97639">
        <w:rPr>
          <w:sz w:val="24"/>
          <w:szCs w:val="24"/>
          <w:lang w:val="sr-Cyrl-RS"/>
        </w:rPr>
        <w:t xml:space="preserve"> (е-подношење понуда, е-аукција, е-динамични систем набавке, е-каталози)</w:t>
      </w:r>
      <w:r w:rsidR="00697278">
        <w:rPr>
          <w:sz w:val="24"/>
          <w:szCs w:val="24"/>
          <w:lang w:val="sr-Cyrl-RS"/>
        </w:rPr>
        <w:t>)</w:t>
      </w:r>
      <w:r>
        <w:rPr>
          <w:sz w:val="24"/>
          <w:szCs w:val="24"/>
          <w:lang w:val="sr-Cyrl-RS"/>
        </w:rPr>
        <w:t>.</w:t>
      </w:r>
      <w:r w:rsidRPr="00B97639">
        <w:t xml:space="preserve"> </w:t>
      </w:r>
      <w:r w:rsidRPr="00B97639">
        <w:rPr>
          <w:sz w:val="24"/>
          <w:szCs w:val="24"/>
          <w:lang w:val="sr-Cyrl-RS"/>
        </w:rPr>
        <w:t>Унапређење call-центра за пружање стручне помоћи корисницима Портала јавних набавки</w:t>
      </w:r>
      <w:r>
        <w:rPr>
          <w:sz w:val="24"/>
          <w:szCs w:val="24"/>
          <w:lang w:val="sr-Cyrl-RS"/>
        </w:rPr>
        <w:t xml:space="preserve"> и о</w:t>
      </w:r>
      <w:r w:rsidRPr="00B97639">
        <w:rPr>
          <w:sz w:val="24"/>
          <w:szCs w:val="24"/>
          <w:lang w:val="sr-Cyrl-RS"/>
        </w:rPr>
        <w:t>бука корисника Портала јавних набавки</w:t>
      </w:r>
      <w:r w:rsidR="0091666F">
        <w:rPr>
          <w:sz w:val="24"/>
          <w:szCs w:val="24"/>
          <w:lang w:val="sr-Cyrl-RS"/>
        </w:rPr>
        <w:t xml:space="preserve"> предвиђено је да се спроводи континуирано. Унапређење Портала и спровођење обука и промовисање електронских јавних набавки је </w:t>
      </w:r>
      <w:r w:rsidR="00697278">
        <w:rPr>
          <w:sz w:val="24"/>
          <w:szCs w:val="24"/>
          <w:lang w:val="sr-Cyrl-RS"/>
        </w:rPr>
        <w:t>предвиђен</w:t>
      </w:r>
      <w:r w:rsidR="0091666F">
        <w:rPr>
          <w:sz w:val="24"/>
          <w:szCs w:val="24"/>
          <w:lang w:val="sr-Cyrl-RS"/>
        </w:rPr>
        <w:t>о и Стратегијом развоја</w:t>
      </w:r>
      <w:r w:rsidR="00697278">
        <w:rPr>
          <w:sz w:val="24"/>
          <w:szCs w:val="24"/>
          <w:lang w:val="sr-Cyrl-RS"/>
        </w:rPr>
        <w:t xml:space="preserve"> </w:t>
      </w:r>
      <w:r w:rsidR="0091666F">
        <w:rPr>
          <w:sz w:val="24"/>
          <w:szCs w:val="24"/>
          <w:lang w:val="sr-Cyrl-RS"/>
        </w:rPr>
        <w:t>малих и средњих предузећа, предузетништва и конкурентности за период 2015-2020. године</w:t>
      </w:r>
      <w:r w:rsidR="009A74C8">
        <w:rPr>
          <w:rStyle w:val="FootnoteReference"/>
          <w:sz w:val="24"/>
          <w:szCs w:val="24"/>
          <w:lang w:val="sr-Cyrl-RS"/>
        </w:rPr>
        <w:footnoteReference w:id="16"/>
      </w:r>
      <w:r w:rsidR="0091666F">
        <w:rPr>
          <w:sz w:val="24"/>
          <w:szCs w:val="24"/>
          <w:lang w:val="sr-Cyrl-RS"/>
        </w:rPr>
        <w:t>.</w:t>
      </w:r>
    </w:p>
    <w:p w:rsidR="00EC1F51" w:rsidRDefault="00EC1F51" w:rsidP="00FA5D96">
      <w:pPr>
        <w:spacing w:after="0"/>
        <w:ind w:firstLine="708"/>
        <w:jc w:val="both"/>
        <w:rPr>
          <w:sz w:val="24"/>
          <w:szCs w:val="24"/>
          <w:lang w:val="sr-Cyrl-RS"/>
        </w:rPr>
      </w:pPr>
      <w:r>
        <w:rPr>
          <w:sz w:val="24"/>
          <w:szCs w:val="24"/>
          <w:lang w:val="sr-Cyrl-RS"/>
        </w:rPr>
        <w:t>Приликом припремања понуде понуђачима, а т</w:t>
      </w:r>
      <w:r w:rsidR="0056636F">
        <w:rPr>
          <w:sz w:val="24"/>
          <w:szCs w:val="24"/>
          <w:lang w:val="sr-Cyrl-RS"/>
        </w:rPr>
        <w:t>ако и М</w:t>
      </w:r>
      <w:r w:rsidR="00BD071B">
        <w:rPr>
          <w:sz w:val="24"/>
          <w:szCs w:val="24"/>
          <w:lang w:val="sr-Cyrl-RS"/>
        </w:rPr>
        <w:t>М</w:t>
      </w:r>
      <w:r w:rsidR="0056636F">
        <w:rPr>
          <w:sz w:val="24"/>
          <w:szCs w:val="24"/>
          <w:lang w:val="sr-Cyrl-RS"/>
        </w:rPr>
        <w:t>С</w:t>
      </w:r>
      <w:r>
        <w:rPr>
          <w:sz w:val="24"/>
          <w:szCs w:val="24"/>
          <w:lang w:val="sr-Cyrl-RS"/>
        </w:rPr>
        <w:t xml:space="preserve">П  је битно да знају шта треба да понуде, да карактеристике предмета набавке буду јасно и недвосмислено описане. Такође, наручиоци би требало да размотре решења која постоје на тржишту, те да техничку спецификацију припреме на тај начин </w:t>
      </w:r>
      <w:r w:rsidR="00697278">
        <w:rPr>
          <w:sz w:val="24"/>
          <w:szCs w:val="24"/>
          <w:lang w:val="sr-Cyrl-RS"/>
        </w:rPr>
        <w:t>да иста заиста буде</w:t>
      </w:r>
      <w:r>
        <w:rPr>
          <w:sz w:val="24"/>
          <w:szCs w:val="24"/>
          <w:lang w:val="sr-Cyrl-RS"/>
        </w:rPr>
        <w:t xml:space="preserve"> у складу са њиховим објективним потребама. Нејасне техничке специфика</w:t>
      </w:r>
      <w:r w:rsidR="00D2754E">
        <w:rPr>
          <w:sz w:val="24"/>
          <w:szCs w:val="24"/>
          <w:lang w:val="sr-Cyrl-RS"/>
        </w:rPr>
        <w:t>ције најчешће могу одвратити М</w:t>
      </w:r>
      <w:r w:rsidR="00BD071B">
        <w:rPr>
          <w:sz w:val="24"/>
          <w:szCs w:val="24"/>
          <w:lang w:val="sr-Cyrl-RS"/>
        </w:rPr>
        <w:t>МС</w:t>
      </w:r>
      <w:r>
        <w:rPr>
          <w:sz w:val="24"/>
          <w:szCs w:val="24"/>
          <w:lang w:val="sr-Cyrl-RS"/>
        </w:rPr>
        <w:t>П од учествовања у конкретном поступку јер нису сигурни шта наручила</w:t>
      </w:r>
      <w:r w:rsidR="00B52601">
        <w:rPr>
          <w:sz w:val="24"/>
          <w:szCs w:val="24"/>
          <w:lang w:val="sr-Cyrl-RS"/>
        </w:rPr>
        <w:t>ц</w:t>
      </w:r>
      <w:r w:rsidR="00B926EE">
        <w:rPr>
          <w:sz w:val="24"/>
          <w:szCs w:val="24"/>
          <w:lang w:val="sr-Cyrl-RS"/>
        </w:rPr>
        <w:t xml:space="preserve"> тачно купује. </w:t>
      </w:r>
      <w:r w:rsidR="004C725E">
        <w:rPr>
          <w:sz w:val="24"/>
          <w:szCs w:val="24"/>
          <w:lang w:val="sr-Cyrl-RS"/>
        </w:rPr>
        <w:t>У појединим земљама ЕУ се због тога практикује дијалог између наручилаца и понуђача како би се утврдило шта на тржишту може да се купи, да ли постоје нека алтернативна решења и на који начин довољно и правилно описати предмет набавке. Врло често ни сами наручиоци немају потребна знања у вези са предметом набавке, а то може довести до тога</w:t>
      </w:r>
      <w:r w:rsidR="00646A3D">
        <w:rPr>
          <w:sz w:val="24"/>
          <w:szCs w:val="24"/>
          <w:lang w:val="sr-Cyrl-RS"/>
        </w:rPr>
        <w:t>,</w:t>
      </w:r>
      <w:r w:rsidR="004C725E">
        <w:rPr>
          <w:sz w:val="24"/>
          <w:szCs w:val="24"/>
          <w:lang w:val="sr-Cyrl-RS"/>
        </w:rPr>
        <w:t xml:space="preserve"> да у поступку добију све неодговарајуће понуде или уопшт</w:t>
      </w:r>
      <w:r w:rsidR="00BD071B">
        <w:rPr>
          <w:sz w:val="24"/>
          <w:szCs w:val="24"/>
          <w:lang w:val="sr-Cyrl-RS"/>
        </w:rPr>
        <w:t>е не добију понуду. Када се води дијалог</w:t>
      </w:r>
      <w:r w:rsidR="004C725E">
        <w:rPr>
          <w:sz w:val="24"/>
          <w:szCs w:val="24"/>
          <w:lang w:val="sr-Cyrl-RS"/>
        </w:rPr>
        <w:t xml:space="preserve"> између наручи</w:t>
      </w:r>
      <w:r w:rsidR="00564E1B">
        <w:rPr>
          <w:sz w:val="24"/>
          <w:szCs w:val="24"/>
          <w:lang w:val="sr-Cyrl-RS"/>
        </w:rPr>
        <w:t>лаца и понуђача требало би имати</w:t>
      </w:r>
      <w:r w:rsidR="004C725E">
        <w:rPr>
          <w:sz w:val="24"/>
          <w:szCs w:val="24"/>
          <w:lang w:val="sr-Cyrl-RS"/>
        </w:rPr>
        <w:t xml:space="preserve"> у виду да се поступа у складу са начелом једнакости и да се на тај начин техничке спецификације не прилагођавају поједином понуђачу.</w:t>
      </w:r>
      <w:r w:rsidR="005164D0">
        <w:rPr>
          <w:sz w:val="24"/>
          <w:szCs w:val="24"/>
          <w:lang w:val="sr-Cyrl-RS"/>
        </w:rPr>
        <w:t xml:space="preserve"> Поред тога, уколико је поступак већ започет, али није истекао рок за подношење понуда, понуђачи могу тражити додатна појашњења у вези са припремањем понуде. Овакав вид  комуникације је дозвољен и потребан. Врло често </w:t>
      </w:r>
      <w:r w:rsidR="005164D0">
        <w:rPr>
          <w:sz w:val="24"/>
          <w:szCs w:val="24"/>
          <w:lang w:val="sr-Cyrl-RS"/>
        </w:rPr>
        <w:lastRenderedPageBreak/>
        <w:t xml:space="preserve">се на тај начин дају значајна појашњења и пружа помоћ понуђачима </w:t>
      </w:r>
      <w:r w:rsidR="00697278">
        <w:rPr>
          <w:sz w:val="24"/>
          <w:szCs w:val="24"/>
          <w:lang w:val="sr-Cyrl-RS"/>
        </w:rPr>
        <w:t>у циљу припреме прихватљиве понуде</w:t>
      </w:r>
      <w:r w:rsidR="005164D0">
        <w:rPr>
          <w:sz w:val="24"/>
          <w:szCs w:val="24"/>
          <w:lang w:val="sr-Cyrl-RS"/>
        </w:rPr>
        <w:t>. У складу са тим</w:t>
      </w:r>
      <w:r w:rsidR="00697278">
        <w:rPr>
          <w:sz w:val="24"/>
          <w:szCs w:val="24"/>
          <w:lang w:val="sr-Cyrl-RS"/>
        </w:rPr>
        <w:t>,</w:t>
      </w:r>
      <w:r w:rsidR="005164D0" w:rsidRPr="00887CE9">
        <w:rPr>
          <w:color w:val="FF0000"/>
          <w:sz w:val="24"/>
          <w:szCs w:val="24"/>
          <w:lang w:val="sr-Cyrl-RS"/>
        </w:rPr>
        <w:t xml:space="preserve"> </w:t>
      </w:r>
      <w:r w:rsidR="005164D0">
        <w:rPr>
          <w:sz w:val="24"/>
          <w:szCs w:val="24"/>
          <w:lang w:val="sr-Cyrl-RS"/>
        </w:rPr>
        <w:t>ЗЈН је предвидео да заи</w:t>
      </w:r>
      <w:r w:rsidR="00BD071B">
        <w:rPr>
          <w:sz w:val="24"/>
          <w:szCs w:val="24"/>
          <w:lang w:val="sr-Cyrl-RS"/>
        </w:rPr>
        <w:t>н</w:t>
      </w:r>
      <w:r w:rsidR="005164D0">
        <w:rPr>
          <w:sz w:val="24"/>
          <w:szCs w:val="24"/>
          <w:lang w:val="sr-Cyrl-RS"/>
        </w:rPr>
        <w:t>тересовано</w:t>
      </w:r>
      <w:r w:rsidR="00887CE9">
        <w:rPr>
          <w:sz w:val="24"/>
          <w:szCs w:val="24"/>
          <w:lang w:val="sr-Cyrl-RS"/>
        </w:rPr>
        <w:t xml:space="preserve"> лице може, у писаном облику </w:t>
      </w:r>
      <w:r w:rsidR="005164D0">
        <w:rPr>
          <w:sz w:val="24"/>
          <w:szCs w:val="24"/>
          <w:lang w:val="sr-Cyrl-RS"/>
        </w:rPr>
        <w:t>тражи</w:t>
      </w:r>
      <w:r w:rsidR="00887CE9">
        <w:rPr>
          <w:sz w:val="24"/>
          <w:szCs w:val="24"/>
          <w:lang w:val="sr-Cyrl-RS"/>
        </w:rPr>
        <w:t>ти</w:t>
      </w:r>
      <w:r w:rsidR="005164D0">
        <w:rPr>
          <w:sz w:val="24"/>
          <w:szCs w:val="24"/>
          <w:lang w:val="sr-Cyrl-RS"/>
        </w:rPr>
        <w:t xml:space="preserve"> од наручиоца додатне информације или појашњења у вези са припремањем понуде, </w:t>
      </w:r>
      <w:r w:rsidR="008500E5">
        <w:rPr>
          <w:sz w:val="24"/>
          <w:szCs w:val="24"/>
          <w:lang w:val="sr-Cyrl-RS"/>
        </w:rPr>
        <w:t xml:space="preserve">при чему може да укаже наручиоцу и на евентуално уочене недостатке и неправилности у конкурсној документацији, </w:t>
      </w:r>
      <w:r w:rsidR="005164D0">
        <w:rPr>
          <w:sz w:val="24"/>
          <w:szCs w:val="24"/>
          <w:lang w:val="sr-Cyrl-RS"/>
        </w:rPr>
        <w:t>најкасније пет дана пре истека рока за подношење понуда</w:t>
      </w:r>
      <w:r w:rsidR="00887CE9">
        <w:rPr>
          <w:rStyle w:val="FootnoteReference"/>
          <w:sz w:val="24"/>
          <w:szCs w:val="24"/>
          <w:lang w:val="sr-Cyrl-RS"/>
        </w:rPr>
        <w:footnoteReference w:id="17"/>
      </w:r>
      <w:r w:rsidR="005164D0">
        <w:rPr>
          <w:sz w:val="24"/>
          <w:szCs w:val="24"/>
          <w:lang w:val="sr-Cyrl-RS"/>
        </w:rPr>
        <w:t xml:space="preserve">, док је </w:t>
      </w:r>
      <w:r w:rsidR="0090100E">
        <w:rPr>
          <w:sz w:val="24"/>
          <w:szCs w:val="24"/>
          <w:lang w:val="sr-Cyrl-RS"/>
        </w:rPr>
        <w:t>наручилац дужан да у року од три дана од дана пријема захтев</w:t>
      </w:r>
      <w:r w:rsidR="00887CE9">
        <w:rPr>
          <w:sz w:val="24"/>
          <w:szCs w:val="24"/>
          <w:lang w:val="sr-Cyrl-RS"/>
        </w:rPr>
        <w:t>а пошаље одговор писаним путем те</w:t>
      </w:r>
      <w:r w:rsidR="0090100E">
        <w:rPr>
          <w:sz w:val="24"/>
          <w:szCs w:val="24"/>
          <w:lang w:val="sr-Cyrl-RS"/>
        </w:rPr>
        <w:t xml:space="preserve"> да истовремено ту информацију објави на Порталу јавних набавки и на својој интернет страници</w:t>
      </w:r>
      <w:r w:rsidR="00887CE9">
        <w:rPr>
          <w:rStyle w:val="FootnoteReference"/>
          <w:sz w:val="24"/>
          <w:szCs w:val="24"/>
          <w:lang w:val="sr-Cyrl-RS"/>
        </w:rPr>
        <w:footnoteReference w:id="18"/>
      </w:r>
      <w:r w:rsidR="0090100E">
        <w:rPr>
          <w:sz w:val="24"/>
          <w:szCs w:val="24"/>
          <w:lang w:val="sr-Cyrl-RS"/>
        </w:rPr>
        <w:t xml:space="preserve">. </w:t>
      </w:r>
      <w:r w:rsidR="004038B6">
        <w:rPr>
          <w:sz w:val="24"/>
          <w:szCs w:val="24"/>
          <w:lang w:val="sr-Cyrl-RS"/>
        </w:rPr>
        <w:t xml:space="preserve">У току разматрања и стручне оцене </w:t>
      </w:r>
      <w:r w:rsidR="006C2904">
        <w:rPr>
          <w:sz w:val="24"/>
          <w:szCs w:val="24"/>
          <w:lang w:val="sr-Cyrl-RS"/>
        </w:rPr>
        <w:t xml:space="preserve">понуда </w:t>
      </w:r>
      <w:r w:rsidR="004038B6">
        <w:rPr>
          <w:sz w:val="24"/>
          <w:szCs w:val="24"/>
          <w:lang w:val="sr-Cyrl-RS"/>
        </w:rPr>
        <w:t>наручилац</w:t>
      </w:r>
      <w:r w:rsidR="006C2904">
        <w:rPr>
          <w:sz w:val="24"/>
          <w:szCs w:val="24"/>
          <w:lang w:val="sr-Cyrl-RS"/>
        </w:rPr>
        <w:t>,</w:t>
      </w:r>
      <w:r w:rsidR="004038B6">
        <w:rPr>
          <w:sz w:val="24"/>
          <w:szCs w:val="24"/>
          <w:lang w:val="sr-Cyrl-RS"/>
        </w:rPr>
        <w:t xml:space="preserve"> са друге стране</w:t>
      </w:r>
      <w:r w:rsidR="006C2904">
        <w:rPr>
          <w:sz w:val="24"/>
          <w:szCs w:val="24"/>
          <w:lang w:val="sr-Cyrl-RS"/>
        </w:rPr>
        <w:t>,</w:t>
      </w:r>
      <w:r w:rsidR="004038B6">
        <w:rPr>
          <w:sz w:val="24"/>
          <w:szCs w:val="24"/>
          <w:lang w:val="sr-Cyrl-RS"/>
        </w:rPr>
        <w:t xml:space="preserve"> може тражити од понуђача одређена појашњења која ће му помоћи да правилно оцени понуду</w:t>
      </w:r>
      <w:r w:rsidR="00887CE9">
        <w:rPr>
          <w:rStyle w:val="FootnoteReference"/>
          <w:sz w:val="24"/>
          <w:szCs w:val="24"/>
          <w:lang w:val="sr-Cyrl-RS"/>
        </w:rPr>
        <w:footnoteReference w:id="19"/>
      </w:r>
      <w:r w:rsidR="004038B6">
        <w:rPr>
          <w:sz w:val="24"/>
          <w:szCs w:val="24"/>
          <w:lang w:val="sr-Cyrl-RS"/>
        </w:rPr>
        <w:t>. После завршеног поступка наручилац може да организује извештавање понуђача, односно са сваким понуђачем може одржати појединачан састанак на којем ће објаснити начин спровођења поступка, дефинис</w:t>
      </w:r>
      <w:r w:rsidR="00D2754E">
        <w:rPr>
          <w:sz w:val="24"/>
          <w:szCs w:val="24"/>
          <w:lang w:val="sr-Cyrl-RS"/>
        </w:rPr>
        <w:t>ања услова за учешће, одређивања</w:t>
      </w:r>
      <w:r w:rsidR="004038B6">
        <w:rPr>
          <w:sz w:val="24"/>
          <w:szCs w:val="24"/>
          <w:lang w:val="sr-Cyrl-RS"/>
        </w:rPr>
        <w:t xml:space="preserve"> техничких спецификација, елемената критеријума и методологије за доделу пондера</w:t>
      </w:r>
      <w:r w:rsidR="003B2183">
        <w:rPr>
          <w:sz w:val="24"/>
          <w:szCs w:val="24"/>
          <w:lang w:val="sr-Cyrl-RS"/>
        </w:rPr>
        <w:t>, разлоге за одбијање понуда, рангирање понуда итд</w:t>
      </w:r>
      <w:r w:rsidR="00D2754E">
        <w:rPr>
          <w:rStyle w:val="FootnoteReference"/>
          <w:sz w:val="24"/>
          <w:szCs w:val="24"/>
          <w:lang w:val="sr-Cyrl-RS"/>
        </w:rPr>
        <w:footnoteReference w:id="20"/>
      </w:r>
      <w:r w:rsidR="003B2183">
        <w:rPr>
          <w:sz w:val="24"/>
          <w:szCs w:val="24"/>
          <w:lang w:val="sr-Cyrl-RS"/>
        </w:rPr>
        <w:t>. Ако је у поступку јавне набавке чија је процењена вредност већа од 250.000.000 динара за добра и услуге и 500.000.000 за радове, наручилац је дужан да организује извештавање понуђача ако је већина понуда одбијена (не сматра се да је већина понуда одбијена ако су поднете две понуде, па једна буде одбијена)</w:t>
      </w:r>
      <w:r w:rsidR="00D2754E">
        <w:rPr>
          <w:rStyle w:val="FootnoteReference"/>
          <w:sz w:val="24"/>
          <w:szCs w:val="24"/>
          <w:lang w:val="sr-Cyrl-RS"/>
        </w:rPr>
        <w:footnoteReference w:id="21"/>
      </w:r>
      <w:r w:rsidR="003B2183">
        <w:rPr>
          <w:sz w:val="24"/>
          <w:szCs w:val="24"/>
          <w:lang w:val="sr-Cyrl-RS"/>
        </w:rPr>
        <w:t>.</w:t>
      </w:r>
      <w:r w:rsidR="006223A4">
        <w:rPr>
          <w:sz w:val="24"/>
          <w:szCs w:val="24"/>
          <w:lang w:val="sr-Cyrl-RS"/>
        </w:rPr>
        <w:t xml:space="preserve"> </w:t>
      </w:r>
      <w:r w:rsidR="003B2183">
        <w:rPr>
          <w:sz w:val="24"/>
          <w:szCs w:val="24"/>
          <w:lang w:val="sr-Cyrl-RS"/>
        </w:rPr>
        <w:t xml:space="preserve"> </w:t>
      </w:r>
      <w:r w:rsidR="004C0DBC">
        <w:rPr>
          <w:sz w:val="24"/>
          <w:szCs w:val="24"/>
          <w:lang w:val="sr-Cyrl-RS"/>
        </w:rPr>
        <w:t>Управа за јавне набавке је на свом сајту објавила текст</w:t>
      </w:r>
      <w:r w:rsidR="00646A3D">
        <w:rPr>
          <w:sz w:val="24"/>
          <w:szCs w:val="24"/>
          <w:lang w:val="sr-Cyrl-RS"/>
        </w:rPr>
        <w:t>,</w:t>
      </w:r>
      <w:r w:rsidR="004C0DBC">
        <w:rPr>
          <w:sz w:val="24"/>
          <w:szCs w:val="24"/>
          <w:lang w:val="sr-Cyrl-RS"/>
        </w:rPr>
        <w:t xml:space="preserve"> под називом „Дијалог у јавним набавкама и истраживање тржишта“</w:t>
      </w:r>
      <w:r w:rsidR="00646A3D">
        <w:rPr>
          <w:sz w:val="24"/>
          <w:szCs w:val="24"/>
          <w:lang w:val="sr-Cyrl-RS"/>
        </w:rPr>
        <w:t>,</w:t>
      </w:r>
      <w:r w:rsidR="004C0DBC" w:rsidRPr="004C0DBC">
        <w:t xml:space="preserve"> </w:t>
      </w:r>
      <w:r w:rsidR="004C0DBC" w:rsidRPr="004C0DBC">
        <w:rPr>
          <w:sz w:val="24"/>
          <w:szCs w:val="24"/>
          <w:lang w:val="sr-Cyrl-RS"/>
        </w:rPr>
        <w:t>о начину вођења</w:t>
      </w:r>
      <w:r w:rsidR="004C0DBC">
        <w:rPr>
          <w:lang w:val="sr-Cyrl-RS"/>
        </w:rPr>
        <w:t xml:space="preserve"> </w:t>
      </w:r>
      <w:r w:rsidR="004C0DBC" w:rsidRPr="004C0DBC">
        <w:rPr>
          <w:sz w:val="24"/>
          <w:szCs w:val="24"/>
          <w:lang w:val="sr-Cyrl-RS"/>
        </w:rPr>
        <w:t>дијалог</w:t>
      </w:r>
      <w:r w:rsidR="004C0DBC">
        <w:rPr>
          <w:sz w:val="24"/>
          <w:szCs w:val="24"/>
          <w:lang w:val="sr-Cyrl-RS"/>
        </w:rPr>
        <w:t>а</w:t>
      </w:r>
      <w:r w:rsidR="004C0DBC" w:rsidRPr="004C0DBC">
        <w:rPr>
          <w:sz w:val="24"/>
          <w:szCs w:val="24"/>
          <w:lang w:val="sr-Cyrl-RS"/>
        </w:rPr>
        <w:t xml:space="preserve"> између наручилаца и понуђача</w:t>
      </w:r>
      <w:r w:rsidR="00646A3D">
        <w:rPr>
          <w:sz w:val="24"/>
          <w:szCs w:val="24"/>
          <w:lang w:val="sr-Cyrl-RS"/>
        </w:rPr>
        <w:t>,</w:t>
      </w:r>
      <w:r w:rsidR="004C0DBC" w:rsidRPr="004C0DBC">
        <w:rPr>
          <w:sz w:val="24"/>
          <w:szCs w:val="24"/>
          <w:lang w:val="sr-Cyrl-RS"/>
        </w:rPr>
        <w:t xml:space="preserve"> тако да се не повреде начела једнакости понуђача и транспарентости</w:t>
      </w:r>
      <w:r w:rsidR="004C0DBC" w:rsidRPr="004C0DBC">
        <w:rPr>
          <w:rStyle w:val="FootnoteReference"/>
          <w:sz w:val="24"/>
          <w:szCs w:val="24"/>
          <w:vertAlign w:val="baseline"/>
          <w:lang w:val="sr-Cyrl-RS"/>
        </w:rPr>
        <w:t xml:space="preserve"> </w:t>
      </w:r>
      <w:r w:rsidR="004C0DBC">
        <w:rPr>
          <w:rStyle w:val="FootnoteReference"/>
          <w:sz w:val="24"/>
          <w:szCs w:val="24"/>
          <w:lang w:val="sr-Cyrl-RS"/>
        </w:rPr>
        <w:footnoteReference w:id="22"/>
      </w:r>
      <w:r w:rsidR="004C0DBC">
        <w:rPr>
          <w:sz w:val="24"/>
          <w:szCs w:val="24"/>
          <w:lang w:val="sr-Cyrl-RS"/>
        </w:rPr>
        <w:t>.</w:t>
      </w:r>
    </w:p>
    <w:p w:rsidR="00D2754E" w:rsidRDefault="00D2754E" w:rsidP="00FA5D96">
      <w:pPr>
        <w:spacing w:after="0"/>
        <w:ind w:firstLine="708"/>
        <w:jc w:val="both"/>
        <w:rPr>
          <w:sz w:val="24"/>
          <w:szCs w:val="24"/>
          <w:lang w:val="sr-Cyrl-RS"/>
        </w:rPr>
      </w:pPr>
    </w:p>
    <w:p w:rsidR="00D2754E" w:rsidRPr="00D2754E" w:rsidRDefault="004E3FA8" w:rsidP="00FA5D96">
      <w:pPr>
        <w:spacing w:after="0"/>
        <w:ind w:firstLine="708"/>
        <w:jc w:val="both"/>
        <w:rPr>
          <w:b/>
          <w:sz w:val="24"/>
          <w:szCs w:val="24"/>
          <w:lang w:val="sr-Cyrl-RS"/>
        </w:rPr>
      </w:pPr>
      <w:r>
        <w:rPr>
          <w:b/>
          <w:sz w:val="24"/>
          <w:szCs w:val="24"/>
          <w:lang w:val="sr-Cyrl-RS"/>
        </w:rPr>
        <w:t>2.3</w:t>
      </w:r>
      <w:r w:rsidR="00D2754E" w:rsidRPr="00D2754E">
        <w:rPr>
          <w:b/>
          <w:sz w:val="24"/>
          <w:szCs w:val="24"/>
          <w:lang w:val="sr-Cyrl-RS"/>
        </w:rPr>
        <w:t>. Кратак рок за припрему понуде</w:t>
      </w:r>
      <w:r w:rsidR="00341340">
        <w:rPr>
          <w:b/>
          <w:sz w:val="24"/>
          <w:szCs w:val="24"/>
          <w:lang w:val="sr-Cyrl-RS"/>
        </w:rPr>
        <w:t xml:space="preserve"> </w:t>
      </w:r>
    </w:p>
    <w:p w:rsidR="00D2754E" w:rsidRDefault="00D2754E" w:rsidP="00FA5D96">
      <w:pPr>
        <w:spacing w:after="0"/>
        <w:ind w:firstLine="708"/>
        <w:jc w:val="both"/>
        <w:rPr>
          <w:sz w:val="24"/>
          <w:szCs w:val="24"/>
          <w:lang w:val="sr-Cyrl-RS"/>
        </w:rPr>
      </w:pPr>
    </w:p>
    <w:p w:rsidR="007D3E91" w:rsidRDefault="00D2754E" w:rsidP="007D3E91">
      <w:pPr>
        <w:spacing w:after="0"/>
        <w:ind w:firstLine="708"/>
        <w:jc w:val="both"/>
        <w:rPr>
          <w:sz w:val="24"/>
          <w:szCs w:val="24"/>
          <w:lang w:val="sr-Cyrl-RS"/>
        </w:rPr>
      </w:pPr>
      <w:r>
        <w:rPr>
          <w:sz w:val="24"/>
          <w:szCs w:val="24"/>
          <w:lang w:val="sr-Cyrl-RS"/>
        </w:rPr>
        <w:t>Једна од потешкоћа за М</w:t>
      </w:r>
      <w:r w:rsidR="00DC6EFF">
        <w:rPr>
          <w:sz w:val="24"/>
          <w:szCs w:val="24"/>
          <w:lang w:val="sr-Cyrl-RS"/>
        </w:rPr>
        <w:t>М</w:t>
      </w:r>
      <w:r>
        <w:rPr>
          <w:sz w:val="24"/>
          <w:szCs w:val="24"/>
          <w:lang w:val="sr-Cyrl-RS"/>
        </w:rPr>
        <w:t>СП</w:t>
      </w:r>
      <w:r w:rsidR="00346598">
        <w:rPr>
          <w:sz w:val="24"/>
          <w:szCs w:val="24"/>
          <w:lang w:val="sr-Cyrl-RS"/>
        </w:rPr>
        <w:t xml:space="preserve"> може представљати кратак рок за припремање понуда. ЗЈН је предвидео различите рокове за подношење понуда у поступцима јавне набавке. То су </w:t>
      </w:r>
      <w:r w:rsidR="00DC6EFF">
        <w:rPr>
          <w:sz w:val="24"/>
          <w:szCs w:val="24"/>
          <w:lang w:val="sr-Cyrl-RS"/>
        </w:rPr>
        <w:t xml:space="preserve">минимални </w:t>
      </w:r>
      <w:r w:rsidR="00346598">
        <w:rPr>
          <w:sz w:val="24"/>
          <w:szCs w:val="24"/>
          <w:lang w:val="sr-Cyrl-RS"/>
        </w:rPr>
        <w:t xml:space="preserve">рокови одређени законом, што не значи да наручиоци </w:t>
      </w:r>
      <w:r>
        <w:rPr>
          <w:sz w:val="24"/>
          <w:szCs w:val="24"/>
          <w:lang w:val="sr-Cyrl-RS"/>
        </w:rPr>
        <w:t xml:space="preserve">не </w:t>
      </w:r>
      <w:r w:rsidR="00346598">
        <w:rPr>
          <w:sz w:val="24"/>
          <w:szCs w:val="24"/>
          <w:lang w:val="sr-Cyrl-RS"/>
        </w:rPr>
        <w:t xml:space="preserve">могу да одреде </w:t>
      </w:r>
      <w:r>
        <w:rPr>
          <w:sz w:val="24"/>
          <w:szCs w:val="24"/>
          <w:lang w:val="sr-Cyrl-RS"/>
        </w:rPr>
        <w:t xml:space="preserve">и </w:t>
      </w:r>
      <w:r w:rsidR="00346598">
        <w:rPr>
          <w:sz w:val="24"/>
          <w:szCs w:val="24"/>
          <w:lang w:val="sr-Cyrl-RS"/>
        </w:rPr>
        <w:t>дужи рок, нарочито ако је предмет набавке сложен и компликован</w:t>
      </w:r>
      <w:r w:rsidR="00DC6EFF">
        <w:rPr>
          <w:sz w:val="24"/>
          <w:szCs w:val="24"/>
          <w:lang w:val="sr-Cyrl-RS"/>
        </w:rPr>
        <w:t>,</w:t>
      </w:r>
      <w:r w:rsidR="00346598">
        <w:rPr>
          <w:sz w:val="24"/>
          <w:szCs w:val="24"/>
          <w:lang w:val="sr-Cyrl-RS"/>
        </w:rPr>
        <w:t xml:space="preserve"> те подразумева озб</w:t>
      </w:r>
      <w:r w:rsidR="007D3E91">
        <w:rPr>
          <w:sz w:val="24"/>
          <w:szCs w:val="24"/>
          <w:lang w:val="sr-Cyrl-RS"/>
        </w:rPr>
        <w:t>иљнију припрему понуђача. За М</w:t>
      </w:r>
      <w:r w:rsidR="00DC6EFF">
        <w:rPr>
          <w:sz w:val="24"/>
          <w:szCs w:val="24"/>
          <w:lang w:val="sr-Cyrl-RS"/>
        </w:rPr>
        <w:t>М</w:t>
      </w:r>
      <w:r w:rsidR="007D3E91">
        <w:rPr>
          <w:sz w:val="24"/>
          <w:szCs w:val="24"/>
          <w:lang w:val="sr-Cyrl-RS"/>
        </w:rPr>
        <w:t>С</w:t>
      </w:r>
      <w:r w:rsidR="00346598">
        <w:rPr>
          <w:sz w:val="24"/>
          <w:szCs w:val="24"/>
          <w:lang w:val="sr-Cyrl-RS"/>
        </w:rPr>
        <w:t xml:space="preserve">П је неопходно адекватно време за припрему понуда јер најчешће </w:t>
      </w:r>
      <w:r w:rsidR="008B2812">
        <w:rPr>
          <w:sz w:val="24"/>
          <w:szCs w:val="24"/>
          <w:lang w:val="sr-Cyrl-RS"/>
        </w:rPr>
        <w:t>немају довољан и неопходан стручни кадар за припрему документације за учествовање. Код поступака велике вр</w:t>
      </w:r>
      <w:r w:rsidR="007D3E91">
        <w:rPr>
          <w:sz w:val="24"/>
          <w:szCs w:val="24"/>
          <w:lang w:val="sr-Cyrl-RS"/>
        </w:rPr>
        <w:t>едности и сложених поступака М</w:t>
      </w:r>
      <w:r w:rsidR="00B926EE">
        <w:rPr>
          <w:sz w:val="24"/>
          <w:szCs w:val="24"/>
          <w:lang w:val="sr-Cyrl-RS"/>
        </w:rPr>
        <w:t>МС</w:t>
      </w:r>
      <w:r w:rsidR="008B2812">
        <w:rPr>
          <w:sz w:val="24"/>
          <w:szCs w:val="24"/>
          <w:lang w:val="sr-Cyrl-RS"/>
        </w:rPr>
        <w:t>П је потребно и време да пронађу неког понуђача како би учествовали у заједничкој понуди</w:t>
      </w:r>
      <w:r w:rsidR="007D3E91">
        <w:rPr>
          <w:sz w:val="24"/>
          <w:szCs w:val="24"/>
          <w:lang w:val="sr-Cyrl-RS"/>
        </w:rPr>
        <w:t xml:space="preserve"> или понуди са подизвођачем</w:t>
      </w:r>
      <w:r w:rsidR="008B2812">
        <w:rPr>
          <w:sz w:val="24"/>
          <w:szCs w:val="24"/>
          <w:lang w:val="sr-Cyrl-RS"/>
        </w:rPr>
        <w:t xml:space="preserve">. </w:t>
      </w:r>
    </w:p>
    <w:p w:rsidR="004E3FA8" w:rsidRDefault="004E3FA8" w:rsidP="0091666F">
      <w:pPr>
        <w:spacing w:after="0"/>
        <w:jc w:val="both"/>
        <w:rPr>
          <w:sz w:val="24"/>
          <w:szCs w:val="24"/>
          <w:lang w:val="sr-Cyrl-RS"/>
        </w:rPr>
      </w:pPr>
    </w:p>
    <w:p w:rsidR="007272DF" w:rsidRDefault="007272DF" w:rsidP="0091666F">
      <w:pPr>
        <w:spacing w:after="0"/>
        <w:jc w:val="both"/>
        <w:rPr>
          <w:sz w:val="24"/>
          <w:szCs w:val="24"/>
          <w:lang w:val="sr-Cyrl-RS"/>
        </w:rPr>
      </w:pPr>
    </w:p>
    <w:p w:rsidR="007272DF" w:rsidRDefault="007272DF" w:rsidP="0091666F">
      <w:pPr>
        <w:spacing w:after="0"/>
        <w:jc w:val="both"/>
        <w:rPr>
          <w:sz w:val="24"/>
          <w:szCs w:val="24"/>
          <w:lang w:val="sr-Cyrl-RS"/>
        </w:rPr>
      </w:pPr>
    </w:p>
    <w:p w:rsidR="007272DF" w:rsidRDefault="007272DF" w:rsidP="0091666F">
      <w:pPr>
        <w:spacing w:after="0"/>
        <w:jc w:val="both"/>
        <w:rPr>
          <w:sz w:val="24"/>
          <w:szCs w:val="24"/>
          <w:lang w:val="sr-Cyrl-RS"/>
        </w:rPr>
      </w:pPr>
    </w:p>
    <w:tbl>
      <w:tblPr>
        <w:tblStyle w:val="MediumGrid1-Accent2"/>
        <w:tblW w:w="0" w:type="auto"/>
        <w:tblLook w:val="04A0" w:firstRow="1" w:lastRow="0" w:firstColumn="1" w:lastColumn="0" w:noHBand="0" w:noVBand="1"/>
      </w:tblPr>
      <w:tblGrid>
        <w:gridCol w:w="4644"/>
        <w:gridCol w:w="4644"/>
      </w:tblGrid>
      <w:tr w:rsidR="007D3E91" w:rsidRPr="007D3E91" w:rsidTr="004E69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C0504D" w:themeFill="accent2"/>
          </w:tcPr>
          <w:p w:rsidR="007D3E91" w:rsidRPr="007D3E91" w:rsidRDefault="007D3E91" w:rsidP="00906A32">
            <w:pPr>
              <w:jc w:val="both"/>
              <w:rPr>
                <w:sz w:val="24"/>
                <w:szCs w:val="24"/>
                <w:lang w:val="sr-Cyrl-RS"/>
              </w:rPr>
            </w:pPr>
          </w:p>
          <w:p w:rsidR="007D3E91" w:rsidRPr="007D3E91" w:rsidRDefault="007D3E91" w:rsidP="00906A32">
            <w:pPr>
              <w:jc w:val="both"/>
              <w:rPr>
                <w:sz w:val="24"/>
                <w:szCs w:val="24"/>
                <w:lang w:val="sr-Cyrl-RS"/>
              </w:rPr>
            </w:pPr>
            <w:r w:rsidRPr="007D3E91">
              <w:rPr>
                <w:sz w:val="24"/>
                <w:szCs w:val="24"/>
                <w:lang w:val="sr-Cyrl-RS"/>
              </w:rPr>
              <w:t>Врста поступка јавне набавке</w:t>
            </w:r>
          </w:p>
          <w:p w:rsidR="007D3E91" w:rsidRPr="007D3E91" w:rsidRDefault="007D3E91" w:rsidP="00906A32">
            <w:pPr>
              <w:jc w:val="both"/>
              <w:rPr>
                <w:sz w:val="24"/>
                <w:szCs w:val="24"/>
                <w:lang w:val="sr-Cyrl-RS"/>
              </w:rPr>
            </w:pPr>
          </w:p>
        </w:tc>
        <w:tc>
          <w:tcPr>
            <w:tcW w:w="4644" w:type="dxa"/>
            <w:shd w:val="clear" w:color="auto" w:fill="C0504D" w:themeFill="accent2"/>
          </w:tcPr>
          <w:p w:rsidR="007D3E91" w:rsidRPr="007D3E91" w:rsidRDefault="007D3E91" w:rsidP="00906A32">
            <w:pPr>
              <w:jc w:val="both"/>
              <w:cnfStyle w:val="100000000000" w:firstRow="1" w:lastRow="0" w:firstColumn="0" w:lastColumn="0" w:oddVBand="0" w:evenVBand="0" w:oddHBand="0" w:evenHBand="0" w:firstRowFirstColumn="0" w:firstRowLastColumn="0" w:lastRowFirstColumn="0" w:lastRowLastColumn="0"/>
              <w:rPr>
                <w:sz w:val="24"/>
                <w:szCs w:val="24"/>
                <w:lang w:val="sr-Cyrl-RS"/>
              </w:rPr>
            </w:pPr>
          </w:p>
          <w:p w:rsidR="007D3E91" w:rsidRPr="007D3E91" w:rsidRDefault="007D3E91" w:rsidP="00906A32">
            <w:pPr>
              <w:jc w:val="both"/>
              <w:cnfStyle w:val="100000000000" w:firstRow="1" w:lastRow="0" w:firstColumn="0" w:lastColumn="0" w:oddVBand="0" w:evenVBand="0" w:oddHBand="0" w:evenHBand="0" w:firstRowFirstColumn="0" w:firstRowLastColumn="0" w:lastRowFirstColumn="0" w:lastRowLastColumn="0"/>
              <w:rPr>
                <w:sz w:val="24"/>
                <w:szCs w:val="24"/>
                <w:lang w:val="sr-Cyrl-RS"/>
              </w:rPr>
            </w:pPr>
            <w:r w:rsidRPr="007D3E91">
              <w:rPr>
                <w:sz w:val="24"/>
                <w:szCs w:val="24"/>
                <w:lang w:val="sr-Cyrl-RS"/>
              </w:rPr>
              <w:t>Рок за подношење понуде/пријаве</w:t>
            </w:r>
          </w:p>
          <w:p w:rsidR="007D3E91" w:rsidRPr="007D3E91" w:rsidRDefault="007D3E91" w:rsidP="00906A32">
            <w:pPr>
              <w:jc w:val="both"/>
              <w:cnfStyle w:val="100000000000" w:firstRow="1" w:lastRow="0" w:firstColumn="0" w:lastColumn="0" w:oddVBand="0" w:evenVBand="0" w:oddHBand="0" w:evenHBand="0" w:firstRowFirstColumn="0" w:firstRowLastColumn="0" w:lastRowFirstColumn="0" w:lastRowLastColumn="0"/>
              <w:rPr>
                <w:sz w:val="24"/>
                <w:szCs w:val="24"/>
                <w:lang w:val="sr-Cyrl-RS"/>
              </w:rPr>
            </w:pPr>
          </w:p>
        </w:tc>
      </w:tr>
      <w:tr w:rsidR="007D3E91" w:rsidRPr="007D3E91" w:rsidTr="004E6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single" w:sz="8" w:space="0" w:color="CF7B79" w:themeColor="accent2" w:themeTint="BF"/>
            </w:tcBorders>
          </w:tcPr>
          <w:p w:rsidR="007D3E91" w:rsidRPr="007D3E91" w:rsidRDefault="007D3E91" w:rsidP="00906A32">
            <w:pPr>
              <w:jc w:val="both"/>
              <w:rPr>
                <w:sz w:val="24"/>
                <w:szCs w:val="24"/>
                <w:lang w:val="sr-Cyrl-RS"/>
              </w:rPr>
            </w:pPr>
            <w:r w:rsidRPr="007D3E91">
              <w:rPr>
                <w:sz w:val="24"/>
                <w:szCs w:val="24"/>
                <w:lang w:val="sr-Cyrl-RS"/>
              </w:rPr>
              <w:t>Отворени, прва фаза рестриктивног и квалификационог поступка и конкурентни дијалог</w:t>
            </w:r>
          </w:p>
        </w:tc>
        <w:tc>
          <w:tcPr>
            <w:tcW w:w="4644" w:type="dxa"/>
            <w:tcBorders>
              <w:bottom w:val="single" w:sz="8" w:space="0" w:color="CF7B79" w:themeColor="accent2" w:themeTint="BF"/>
            </w:tcBorders>
          </w:tcPr>
          <w:p w:rsidR="007D3E91" w:rsidRPr="007D3E91" w:rsidRDefault="007D3E91" w:rsidP="00906A32">
            <w:pPr>
              <w:jc w:val="both"/>
              <w:cnfStyle w:val="000000100000" w:firstRow="0" w:lastRow="0" w:firstColumn="0" w:lastColumn="0" w:oddVBand="0" w:evenVBand="0" w:oddHBand="1" w:evenHBand="0" w:firstRowFirstColumn="0" w:firstRowLastColumn="0" w:lastRowFirstColumn="0" w:lastRowLastColumn="0"/>
              <w:rPr>
                <w:sz w:val="24"/>
                <w:szCs w:val="24"/>
                <w:lang w:val="sr-Cyrl-RS"/>
              </w:rPr>
            </w:pPr>
          </w:p>
          <w:p w:rsidR="007D3E91" w:rsidRPr="007D3E91" w:rsidRDefault="00DC6EFF" w:rsidP="00906A32">
            <w:pPr>
              <w:jc w:val="center"/>
              <w:cnfStyle w:val="000000100000" w:firstRow="0" w:lastRow="0" w:firstColumn="0" w:lastColumn="0" w:oddVBand="0" w:evenVBand="0" w:oddHBand="1" w:evenHBand="0" w:firstRowFirstColumn="0" w:firstRowLastColumn="0" w:lastRowFirstColumn="0" w:lastRowLastColumn="0"/>
              <w:rPr>
                <w:sz w:val="24"/>
                <w:szCs w:val="24"/>
                <w:lang w:val="sr-Cyrl-RS"/>
              </w:rPr>
            </w:pPr>
            <w:r>
              <w:rPr>
                <w:sz w:val="24"/>
                <w:szCs w:val="24"/>
                <w:lang w:val="sr-Cyrl-RS"/>
              </w:rPr>
              <w:t>35/30/20/15</w:t>
            </w:r>
          </w:p>
        </w:tc>
      </w:tr>
      <w:tr w:rsidR="007D3E91" w:rsidRPr="007D3E91" w:rsidTr="004E69C1">
        <w:tc>
          <w:tcPr>
            <w:cnfStyle w:val="001000000000" w:firstRow="0" w:lastRow="0" w:firstColumn="1" w:lastColumn="0" w:oddVBand="0" w:evenVBand="0" w:oddHBand="0" w:evenHBand="0" w:firstRowFirstColumn="0" w:firstRowLastColumn="0" w:lastRowFirstColumn="0" w:lastRowLastColumn="0"/>
            <w:tcW w:w="4644" w:type="dxa"/>
            <w:shd w:val="clear" w:color="auto" w:fill="FABF8F" w:themeFill="accent6" w:themeFillTint="99"/>
          </w:tcPr>
          <w:p w:rsidR="007D3E91" w:rsidRPr="007D3E91" w:rsidRDefault="007D3E91" w:rsidP="00906A32">
            <w:pPr>
              <w:jc w:val="both"/>
              <w:rPr>
                <w:sz w:val="24"/>
                <w:szCs w:val="24"/>
                <w:lang w:val="sr-Cyrl-RS"/>
              </w:rPr>
            </w:pPr>
            <w:r w:rsidRPr="007D3E91">
              <w:rPr>
                <w:sz w:val="24"/>
                <w:szCs w:val="24"/>
                <w:lang w:val="sr-Cyrl-RS"/>
              </w:rPr>
              <w:t xml:space="preserve">Друга фаза рестриктивног поступка </w:t>
            </w:r>
          </w:p>
        </w:tc>
        <w:tc>
          <w:tcPr>
            <w:tcW w:w="4644" w:type="dxa"/>
            <w:shd w:val="clear" w:color="auto" w:fill="FABF8F" w:themeFill="accent6" w:themeFillTint="99"/>
          </w:tcPr>
          <w:p w:rsidR="007D3E91" w:rsidRPr="007D3E91" w:rsidRDefault="007D3E91" w:rsidP="00906A32">
            <w:pPr>
              <w:jc w:val="center"/>
              <w:cnfStyle w:val="000000000000" w:firstRow="0" w:lastRow="0" w:firstColumn="0" w:lastColumn="0" w:oddVBand="0" w:evenVBand="0" w:oddHBand="0" w:evenHBand="0" w:firstRowFirstColumn="0" w:firstRowLastColumn="0" w:lastRowFirstColumn="0" w:lastRowLastColumn="0"/>
              <w:rPr>
                <w:sz w:val="24"/>
                <w:szCs w:val="24"/>
                <w:lang w:val="sr-Cyrl-RS"/>
              </w:rPr>
            </w:pPr>
            <w:r w:rsidRPr="007D3E91">
              <w:rPr>
                <w:sz w:val="24"/>
                <w:szCs w:val="24"/>
                <w:lang w:val="sr-Cyrl-RS"/>
              </w:rPr>
              <w:t>20</w:t>
            </w:r>
          </w:p>
        </w:tc>
      </w:tr>
      <w:tr w:rsidR="007D3E91" w:rsidRPr="007D3E91" w:rsidTr="004E6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single" w:sz="8" w:space="0" w:color="CF7B79" w:themeColor="accent2" w:themeTint="BF"/>
            </w:tcBorders>
          </w:tcPr>
          <w:p w:rsidR="007D3E91" w:rsidRPr="007D3E91" w:rsidRDefault="007D3E91" w:rsidP="00906A32">
            <w:pPr>
              <w:jc w:val="both"/>
              <w:rPr>
                <w:sz w:val="24"/>
                <w:szCs w:val="24"/>
                <w:lang w:val="sr-Cyrl-RS"/>
              </w:rPr>
            </w:pPr>
            <w:r w:rsidRPr="007D3E91">
              <w:rPr>
                <w:sz w:val="24"/>
                <w:szCs w:val="24"/>
                <w:lang w:val="sr-Cyrl-RS"/>
              </w:rPr>
              <w:t>Друга фаза квалификационог поступка и поступка јавне набавке мале вредности</w:t>
            </w:r>
          </w:p>
        </w:tc>
        <w:tc>
          <w:tcPr>
            <w:tcW w:w="4644" w:type="dxa"/>
            <w:tcBorders>
              <w:bottom w:val="single" w:sz="8" w:space="0" w:color="CF7B79" w:themeColor="accent2" w:themeTint="BF"/>
            </w:tcBorders>
            <w:vAlign w:val="center"/>
          </w:tcPr>
          <w:p w:rsidR="007D3E91" w:rsidRPr="007D3E91" w:rsidRDefault="007D3E91" w:rsidP="004E3FA8">
            <w:pPr>
              <w:jc w:val="center"/>
              <w:cnfStyle w:val="000000100000" w:firstRow="0" w:lastRow="0" w:firstColumn="0" w:lastColumn="0" w:oddVBand="0" w:evenVBand="0" w:oddHBand="1" w:evenHBand="0" w:firstRowFirstColumn="0" w:firstRowLastColumn="0" w:lastRowFirstColumn="0" w:lastRowLastColumn="0"/>
              <w:rPr>
                <w:sz w:val="24"/>
                <w:szCs w:val="24"/>
                <w:lang w:val="sr-Cyrl-RS"/>
              </w:rPr>
            </w:pPr>
            <w:r w:rsidRPr="007D3E91">
              <w:rPr>
                <w:sz w:val="24"/>
                <w:szCs w:val="24"/>
                <w:lang w:val="sr-Cyrl-RS"/>
              </w:rPr>
              <w:t>8</w:t>
            </w:r>
          </w:p>
        </w:tc>
      </w:tr>
      <w:tr w:rsidR="007D3E91" w:rsidRPr="007D3E91" w:rsidTr="004E69C1">
        <w:tc>
          <w:tcPr>
            <w:cnfStyle w:val="001000000000" w:firstRow="0" w:lastRow="0" w:firstColumn="1" w:lastColumn="0" w:oddVBand="0" w:evenVBand="0" w:oddHBand="0" w:evenHBand="0" w:firstRowFirstColumn="0" w:firstRowLastColumn="0" w:lastRowFirstColumn="0" w:lastRowLastColumn="0"/>
            <w:tcW w:w="4644" w:type="dxa"/>
            <w:shd w:val="clear" w:color="auto" w:fill="FABF8F" w:themeFill="accent6" w:themeFillTint="99"/>
          </w:tcPr>
          <w:p w:rsidR="007D3E91" w:rsidRPr="007D3E91" w:rsidRDefault="007D3E91" w:rsidP="00906A32">
            <w:pPr>
              <w:jc w:val="both"/>
              <w:rPr>
                <w:sz w:val="24"/>
                <w:szCs w:val="24"/>
                <w:lang w:val="sr-Cyrl-RS"/>
              </w:rPr>
            </w:pPr>
            <w:r w:rsidRPr="007D3E91">
              <w:rPr>
                <w:sz w:val="24"/>
                <w:szCs w:val="24"/>
                <w:lang w:val="sr-Cyrl-RS"/>
              </w:rPr>
              <w:t>Конкурентни дијалог</w:t>
            </w:r>
          </w:p>
          <w:p w:rsidR="007D3E91" w:rsidRPr="007D3E91" w:rsidRDefault="007D3E91" w:rsidP="00906A32">
            <w:pPr>
              <w:jc w:val="both"/>
              <w:rPr>
                <w:sz w:val="24"/>
                <w:szCs w:val="24"/>
                <w:lang w:val="sr-Cyrl-RS"/>
              </w:rPr>
            </w:pPr>
            <w:r w:rsidRPr="007D3E91">
              <w:rPr>
                <w:sz w:val="24"/>
                <w:szCs w:val="24"/>
                <w:lang w:val="sr-Cyrl-RS"/>
              </w:rPr>
              <w:t>подношење коначних понуда</w:t>
            </w:r>
          </w:p>
        </w:tc>
        <w:tc>
          <w:tcPr>
            <w:tcW w:w="4644" w:type="dxa"/>
            <w:shd w:val="clear" w:color="auto" w:fill="FABF8F" w:themeFill="accent6" w:themeFillTint="99"/>
            <w:vAlign w:val="center"/>
          </w:tcPr>
          <w:p w:rsidR="007D3E91" w:rsidRPr="007D3E91" w:rsidRDefault="007D3E91" w:rsidP="004E3FA8">
            <w:pPr>
              <w:jc w:val="center"/>
              <w:cnfStyle w:val="000000000000" w:firstRow="0" w:lastRow="0" w:firstColumn="0" w:lastColumn="0" w:oddVBand="0" w:evenVBand="0" w:oddHBand="0" w:evenHBand="0" w:firstRowFirstColumn="0" w:firstRowLastColumn="0" w:lastRowFirstColumn="0" w:lastRowLastColumn="0"/>
              <w:rPr>
                <w:sz w:val="24"/>
                <w:szCs w:val="24"/>
                <w:lang w:val="sr-Cyrl-RS"/>
              </w:rPr>
            </w:pPr>
            <w:r w:rsidRPr="007D3E91">
              <w:rPr>
                <w:sz w:val="24"/>
                <w:szCs w:val="24"/>
                <w:lang w:val="sr-Cyrl-RS"/>
              </w:rPr>
              <w:t>20</w:t>
            </w:r>
          </w:p>
        </w:tc>
      </w:tr>
      <w:tr w:rsidR="007D3E91" w:rsidRPr="007D3E91" w:rsidTr="004E6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single" w:sz="8" w:space="0" w:color="CF7B79" w:themeColor="accent2" w:themeTint="BF"/>
            </w:tcBorders>
          </w:tcPr>
          <w:p w:rsidR="007D3E91" w:rsidRPr="007D3E91" w:rsidRDefault="007D3E91" w:rsidP="00906A32">
            <w:pPr>
              <w:jc w:val="both"/>
              <w:rPr>
                <w:sz w:val="24"/>
                <w:szCs w:val="24"/>
                <w:lang w:val="sr-Cyrl-RS"/>
              </w:rPr>
            </w:pPr>
            <w:r w:rsidRPr="007D3E91">
              <w:rPr>
                <w:sz w:val="24"/>
                <w:szCs w:val="24"/>
                <w:lang w:val="sr-Cyrl-RS"/>
              </w:rPr>
              <w:t xml:space="preserve">Преговарачки поступак са објављивањем позива </w:t>
            </w:r>
          </w:p>
        </w:tc>
        <w:tc>
          <w:tcPr>
            <w:tcW w:w="4644" w:type="dxa"/>
            <w:tcBorders>
              <w:bottom w:val="single" w:sz="8" w:space="0" w:color="CF7B79" w:themeColor="accent2" w:themeTint="BF"/>
            </w:tcBorders>
            <w:vAlign w:val="center"/>
          </w:tcPr>
          <w:p w:rsidR="007D3E91" w:rsidRPr="007D3E91" w:rsidRDefault="007D3E91" w:rsidP="004E3FA8">
            <w:pPr>
              <w:jc w:val="center"/>
              <w:cnfStyle w:val="000000100000" w:firstRow="0" w:lastRow="0" w:firstColumn="0" w:lastColumn="0" w:oddVBand="0" w:evenVBand="0" w:oddHBand="1" w:evenHBand="0" w:firstRowFirstColumn="0" w:firstRowLastColumn="0" w:lastRowFirstColumn="0" w:lastRowLastColumn="0"/>
              <w:rPr>
                <w:sz w:val="24"/>
                <w:szCs w:val="24"/>
                <w:lang w:val="sr-Cyrl-RS"/>
              </w:rPr>
            </w:pPr>
            <w:r w:rsidRPr="007D3E91">
              <w:rPr>
                <w:sz w:val="24"/>
                <w:szCs w:val="24"/>
                <w:lang w:val="sr-Cyrl-RS"/>
              </w:rPr>
              <w:t>25</w:t>
            </w:r>
            <w:r w:rsidR="00DC6EFF">
              <w:rPr>
                <w:sz w:val="24"/>
                <w:szCs w:val="24"/>
                <w:lang w:val="sr-Cyrl-RS"/>
              </w:rPr>
              <w:t>/примерен рок</w:t>
            </w:r>
            <w:r w:rsidR="00DC6EFF">
              <w:rPr>
                <w:rStyle w:val="FootnoteReference"/>
                <w:sz w:val="24"/>
                <w:szCs w:val="24"/>
                <w:lang w:val="sr-Cyrl-RS"/>
              </w:rPr>
              <w:footnoteReference w:id="23"/>
            </w:r>
          </w:p>
        </w:tc>
      </w:tr>
      <w:tr w:rsidR="007D3E91" w:rsidRPr="007D3E91" w:rsidTr="004E69C1">
        <w:tc>
          <w:tcPr>
            <w:cnfStyle w:val="001000000000" w:firstRow="0" w:lastRow="0" w:firstColumn="1" w:lastColumn="0" w:oddVBand="0" w:evenVBand="0" w:oddHBand="0" w:evenHBand="0" w:firstRowFirstColumn="0" w:firstRowLastColumn="0" w:lastRowFirstColumn="0" w:lastRowLastColumn="0"/>
            <w:tcW w:w="4644" w:type="dxa"/>
            <w:shd w:val="clear" w:color="auto" w:fill="FABF8F" w:themeFill="accent6" w:themeFillTint="99"/>
          </w:tcPr>
          <w:p w:rsidR="007D3E91" w:rsidRPr="007D3E91" w:rsidRDefault="007D3E91" w:rsidP="00906A32">
            <w:pPr>
              <w:jc w:val="both"/>
              <w:rPr>
                <w:sz w:val="24"/>
                <w:szCs w:val="24"/>
                <w:lang w:val="sr-Cyrl-RS"/>
              </w:rPr>
            </w:pPr>
            <w:r w:rsidRPr="007D3E91">
              <w:rPr>
                <w:sz w:val="24"/>
                <w:szCs w:val="24"/>
                <w:lang w:val="sr-Cyrl-RS"/>
              </w:rPr>
              <w:t>Систем динамичне набавке</w:t>
            </w:r>
          </w:p>
          <w:p w:rsidR="007D3E91" w:rsidRPr="007D3E91" w:rsidRDefault="007D3E91" w:rsidP="00906A32">
            <w:pPr>
              <w:jc w:val="both"/>
              <w:rPr>
                <w:sz w:val="24"/>
                <w:szCs w:val="24"/>
                <w:lang w:val="sr-Cyrl-RS"/>
              </w:rPr>
            </w:pPr>
            <w:r w:rsidRPr="007D3E91">
              <w:rPr>
                <w:sz w:val="24"/>
                <w:szCs w:val="24"/>
                <w:lang w:val="sr-Cyrl-RS"/>
              </w:rPr>
              <w:t>подношење коначних понуда</w:t>
            </w:r>
          </w:p>
        </w:tc>
        <w:tc>
          <w:tcPr>
            <w:tcW w:w="4644" w:type="dxa"/>
            <w:shd w:val="clear" w:color="auto" w:fill="FABF8F" w:themeFill="accent6" w:themeFillTint="99"/>
            <w:vAlign w:val="center"/>
          </w:tcPr>
          <w:p w:rsidR="007D3E91" w:rsidRPr="007D3E91" w:rsidRDefault="007D3E91" w:rsidP="004E3FA8">
            <w:pPr>
              <w:jc w:val="center"/>
              <w:cnfStyle w:val="000000000000" w:firstRow="0" w:lastRow="0" w:firstColumn="0" w:lastColumn="0" w:oddVBand="0" w:evenVBand="0" w:oddHBand="0" w:evenHBand="0" w:firstRowFirstColumn="0" w:firstRowLastColumn="0" w:lastRowFirstColumn="0" w:lastRowLastColumn="0"/>
              <w:rPr>
                <w:sz w:val="24"/>
                <w:szCs w:val="24"/>
                <w:lang w:val="sr-Cyrl-RS"/>
              </w:rPr>
            </w:pPr>
            <w:r w:rsidRPr="007D3E91">
              <w:rPr>
                <w:sz w:val="24"/>
                <w:szCs w:val="24"/>
                <w:lang w:val="sr-Cyrl-RS"/>
              </w:rPr>
              <w:t>15</w:t>
            </w:r>
          </w:p>
        </w:tc>
      </w:tr>
      <w:tr w:rsidR="007D3E91" w:rsidRPr="007D3E91" w:rsidTr="00DC6E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7D3E91" w:rsidRPr="007D3E91" w:rsidRDefault="007D3E91" w:rsidP="00906A32">
            <w:pPr>
              <w:jc w:val="both"/>
              <w:rPr>
                <w:sz w:val="24"/>
                <w:szCs w:val="24"/>
                <w:lang w:val="sr-Cyrl-RS"/>
              </w:rPr>
            </w:pPr>
            <w:r w:rsidRPr="007D3E91">
              <w:rPr>
                <w:sz w:val="24"/>
                <w:szCs w:val="24"/>
                <w:lang w:val="sr-Cyrl-RS"/>
              </w:rPr>
              <w:t>Преговарачки поступак без објављивања позива за подношење понуда</w:t>
            </w:r>
          </w:p>
        </w:tc>
        <w:tc>
          <w:tcPr>
            <w:tcW w:w="4644" w:type="dxa"/>
            <w:vAlign w:val="center"/>
          </w:tcPr>
          <w:p w:rsidR="007D3E91" w:rsidRPr="007D3E91" w:rsidRDefault="00DC6EFF" w:rsidP="00DC6EFF">
            <w:pPr>
              <w:jc w:val="center"/>
              <w:cnfStyle w:val="000000100000" w:firstRow="0" w:lastRow="0" w:firstColumn="0" w:lastColumn="0" w:oddVBand="0" w:evenVBand="0" w:oddHBand="1" w:evenHBand="0" w:firstRowFirstColumn="0" w:firstRowLastColumn="0" w:lastRowFirstColumn="0" w:lastRowLastColumn="0"/>
              <w:rPr>
                <w:sz w:val="24"/>
                <w:szCs w:val="24"/>
                <w:lang w:val="sr-Cyrl-RS"/>
              </w:rPr>
            </w:pPr>
            <w:r>
              <w:rPr>
                <w:sz w:val="24"/>
                <w:szCs w:val="24"/>
                <w:lang w:val="sr-Cyrl-RS"/>
              </w:rPr>
              <w:t>примерен рок</w:t>
            </w:r>
          </w:p>
        </w:tc>
      </w:tr>
    </w:tbl>
    <w:p w:rsidR="007D3E91" w:rsidRDefault="007D3E91" w:rsidP="007D3E91">
      <w:pPr>
        <w:spacing w:after="0"/>
        <w:jc w:val="both"/>
        <w:rPr>
          <w:sz w:val="24"/>
          <w:szCs w:val="24"/>
          <w:lang w:val="sr-Cyrl-RS"/>
        </w:rPr>
      </w:pPr>
    </w:p>
    <w:p w:rsidR="00650374" w:rsidRDefault="007D3E91" w:rsidP="007D3E91">
      <w:pPr>
        <w:spacing w:after="0"/>
        <w:ind w:firstLine="708"/>
        <w:jc w:val="both"/>
        <w:rPr>
          <w:sz w:val="24"/>
          <w:szCs w:val="24"/>
          <w:lang w:val="sr-Cyrl-RS"/>
        </w:rPr>
      </w:pPr>
      <w:r>
        <w:rPr>
          <w:sz w:val="24"/>
          <w:szCs w:val="24"/>
          <w:lang w:val="sr-Cyrl-RS"/>
        </w:rPr>
        <w:t>Директива</w:t>
      </w:r>
      <w:r w:rsidR="00244CE0">
        <w:rPr>
          <w:sz w:val="24"/>
          <w:szCs w:val="24"/>
          <w:lang w:val="sr-Cyrl-RS"/>
        </w:rPr>
        <w:t xml:space="preserve"> ЕУ </w:t>
      </w:r>
      <w:r>
        <w:rPr>
          <w:sz w:val="24"/>
          <w:szCs w:val="24"/>
          <w:lang w:val="sr-Cyrl-RS"/>
        </w:rPr>
        <w:t>2014/24/ЕУ предвиђа</w:t>
      </w:r>
      <w:r w:rsidR="00244CE0">
        <w:rPr>
          <w:sz w:val="24"/>
          <w:szCs w:val="24"/>
          <w:lang w:val="sr-Cyrl-RS"/>
        </w:rPr>
        <w:t xml:space="preserve"> могућност објављивања претходног информативног обаве</w:t>
      </w:r>
      <w:r>
        <w:rPr>
          <w:sz w:val="24"/>
          <w:szCs w:val="24"/>
          <w:lang w:val="sr-Cyrl-RS"/>
        </w:rPr>
        <w:t>штења како би се понуђачи, а и М</w:t>
      </w:r>
      <w:r w:rsidR="00DC6EFF">
        <w:rPr>
          <w:sz w:val="24"/>
          <w:szCs w:val="24"/>
          <w:lang w:val="sr-Cyrl-RS"/>
        </w:rPr>
        <w:t>МС</w:t>
      </w:r>
      <w:r w:rsidR="00244CE0">
        <w:rPr>
          <w:sz w:val="24"/>
          <w:szCs w:val="24"/>
          <w:lang w:val="sr-Cyrl-RS"/>
        </w:rPr>
        <w:t>П правовремено упознали да ће се ускоро спровести поступак јавне набавке</w:t>
      </w:r>
      <w:r>
        <w:rPr>
          <w:rStyle w:val="FootnoteReference"/>
          <w:sz w:val="24"/>
          <w:szCs w:val="24"/>
          <w:lang w:val="sr-Cyrl-RS"/>
        </w:rPr>
        <w:footnoteReference w:id="24"/>
      </w:r>
      <w:r>
        <w:rPr>
          <w:sz w:val="24"/>
          <w:szCs w:val="24"/>
          <w:lang w:val="sr-Cyrl-RS"/>
        </w:rPr>
        <w:t>. Претходно информативно обавештење</w:t>
      </w:r>
      <w:r w:rsidR="00244CE0">
        <w:rPr>
          <w:sz w:val="24"/>
          <w:szCs w:val="24"/>
          <w:lang w:val="sr-Cyrl-RS"/>
        </w:rPr>
        <w:t xml:space="preserve"> би требало да бу</w:t>
      </w:r>
      <w:r>
        <w:rPr>
          <w:sz w:val="24"/>
          <w:szCs w:val="24"/>
          <w:lang w:val="sr-Cyrl-RS"/>
        </w:rPr>
        <w:t>де довољно детаљно</w:t>
      </w:r>
      <w:r w:rsidR="00697278">
        <w:rPr>
          <w:sz w:val="24"/>
          <w:szCs w:val="24"/>
          <w:lang w:val="sr-Cyrl-RS"/>
        </w:rPr>
        <w:t xml:space="preserve"> и да садржи</w:t>
      </w:r>
      <w:r w:rsidR="00244CE0">
        <w:rPr>
          <w:sz w:val="24"/>
          <w:szCs w:val="24"/>
          <w:lang w:val="sr-Cyrl-RS"/>
        </w:rPr>
        <w:t xml:space="preserve"> неопходне информације за припремање понуде. ЗЈН </w:t>
      </w:r>
      <w:r w:rsidR="00DC6EFF">
        <w:rPr>
          <w:sz w:val="24"/>
          <w:szCs w:val="24"/>
          <w:lang w:val="sr-Cyrl-RS"/>
        </w:rPr>
        <w:t xml:space="preserve">је пре измена у августу 2015. године  </w:t>
      </w:r>
      <w:r w:rsidR="00244CE0">
        <w:rPr>
          <w:sz w:val="24"/>
          <w:szCs w:val="24"/>
          <w:lang w:val="sr-Cyrl-RS"/>
        </w:rPr>
        <w:t>предвиђа</w:t>
      </w:r>
      <w:r w:rsidR="00DC6EFF">
        <w:rPr>
          <w:sz w:val="24"/>
          <w:szCs w:val="24"/>
          <w:lang w:val="sr-Cyrl-RS"/>
        </w:rPr>
        <w:t>о</w:t>
      </w:r>
      <w:r w:rsidR="00244CE0">
        <w:rPr>
          <w:sz w:val="24"/>
          <w:szCs w:val="24"/>
          <w:lang w:val="sr-Cyrl-RS"/>
        </w:rPr>
        <w:t xml:space="preserve"> обавезу објављивања претходног обавештења када је процењена вредност набавке сродних добара или сродних услуга на годишњем нивоу преко 45.000.000 динара, односно сродних радова преко 60.000.000 динара.</w:t>
      </w:r>
      <w:r w:rsidR="00DC6EFF">
        <w:rPr>
          <w:sz w:val="24"/>
          <w:szCs w:val="24"/>
          <w:lang w:val="sr-Cyrl-RS"/>
        </w:rPr>
        <w:t xml:space="preserve"> Након измена ЗЈН</w:t>
      </w:r>
      <w:r w:rsidR="007860B8">
        <w:rPr>
          <w:sz w:val="24"/>
          <w:szCs w:val="24"/>
          <w:lang w:val="sr-Cyrl-RS"/>
        </w:rPr>
        <w:t xml:space="preserve"> из 2015. године</w:t>
      </w:r>
      <w:r w:rsidR="007272DF">
        <w:rPr>
          <w:sz w:val="24"/>
          <w:szCs w:val="24"/>
          <w:lang w:val="sr-Cyrl-RS"/>
        </w:rPr>
        <w:t>,</w:t>
      </w:r>
      <w:r w:rsidR="00DC6EFF">
        <w:rPr>
          <w:sz w:val="24"/>
          <w:szCs w:val="24"/>
          <w:lang w:val="sr-Cyrl-RS"/>
        </w:rPr>
        <w:t xml:space="preserve"> објављивање претходног обавештења се не везује са одређене вредности набавки</w:t>
      </w:r>
      <w:r w:rsidR="007272DF">
        <w:rPr>
          <w:sz w:val="24"/>
          <w:szCs w:val="24"/>
          <w:lang w:val="sr-Cyrl-RS"/>
        </w:rPr>
        <w:t xml:space="preserve">, тако да наручиоци могу да објаве претходно обавештење за </w:t>
      </w:r>
      <w:r w:rsidR="00B926EE">
        <w:rPr>
          <w:sz w:val="24"/>
          <w:szCs w:val="24"/>
          <w:lang w:val="sr-Cyrl-RS"/>
        </w:rPr>
        <w:t xml:space="preserve">било које </w:t>
      </w:r>
      <w:r w:rsidR="007272DF">
        <w:rPr>
          <w:sz w:val="24"/>
          <w:szCs w:val="24"/>
          <w:lang w:val="sr-Cyrl-RS"/>
        </w:rPr>
        <w:t xml:space="preserve">набавке, без обзира колика је процењена вредност истих. </w:t>
      </w:r>
      <w:r w:rsidR="00244CE0">
        <w:rPr>
          <w:sz w:val="24"/>
          <w:szCs w:val="24"/>
          <w:lang w:val="sr-Cyrl-RS"/>
        </w:rPr>
        <w:t xml:space="preserve"> </w:t>
      </w:r>
    </w:p>
    <w:p w:rsidR="007D3E91" w:rsidRDefault="007D3E91" w:rsidP="004E3FA8">
      <w:pPr>
        <w:spacing w:after="0"/>
        <w:jc w:val="both"/>
        <w:rPr>
          <w:sz w:val="24"/>
          <w:szCs w:val="24"/>
          <w:lang w:val="sr-Cyrl-RS"/>
        </w:rPr>
      </w:pPr>
    </w:p>
    <w:p w:rsidR="004E3FA8" w:rsidRPr="004E3FA8" w:rsidRDefault="004E3FA8" w:rsidP="009A74C8">
      <w:pPr>
        <w:spacing w:after="0"/>
        <w:ind w:firstLine="708"/>
        <w:jc w:val="both"/>
        <w:rPr>
          <w:b/>
          <w:sz w:val="24"/>
          <w:szCs w:val="24"/>
          <w:lang w:val="sr-Cyrl-RS"/>
        </w:rPr>
      </w:pPr>
      <w:r w:rsidRPr="004E3FA8">
        <w:rPr>
          <w:b/>
          <w:sz w:val="24"/>
          <w:szCs w:val="24"/>
          <w:lang w:val="sr-Cyrl-RS"/>
        </w:rPr>
        <w:t>2.4. Недостатак потребног знања о процедурама</w:t>
      </w:r>
      <w:r w:rsidR="009A74C8">
        <w:rPr>
          <w:b/>
          <w:sz w:val="24"/>
          <w:szCs w:val="24"/>
          <w:lang w:val="sr-Cyrl-RS"/>
        </w:rPr>
        <w:t xml:space="preserve"> и искуства у поступцима јавне набавке</w:t>
      </w:r>
    </w:p>
    <w:p w:rsidR="004E3FA8" w:rsidRDefault="004E3FA8" w:rsidP="004E3FA8">
      <w:pPr>
        <w:spacing w:after="0"/>
        <w:jc w:val="both"/>
        <w:rPr>
          <w:sz w:val="24"/>
          <w:szCs w:val="24"/>
          <w:lang w:val="sr-Cyrl-RS"/>
        </w:rPr>
      </w:pPr>
    </w:p>
    <w:p w:rsidR="0091666F" w:rsidRDefault="001D3AB4" w:rsidP="001D3AB4">
      <w:pPr>
        <w:spacing w:after="0"/>
        <w:ind w:firstLine="708"/>
        <w:jc w:val="both"/>
        <w:rPr>
          <w:sz w:val="24"/>
          <w:szCs w:val="24"/>
          <w:lang w:val="sr-Cyrl-RS"/>
        </w:rPr>
      </w:pPr>
      <w:r>
        <w:rPr>
          <w:sz w:val="24"/>
          <w:szCs w:val="24"/>
          <w:lang w:val="sr-Cyrl-RS"/>
        </w:rPr>
        <w:t>Недовољно познавање процедура јавних набавки од стране наручилаца</w:t>
      </w:r>
      <w:r w:rsidR="00B440BE">
        <w:rPr>
          <w:sz w:val="24"/>
          <w:szCs w:val="24"/>
          <w:lang w:val="sr-Cyrl-RS"/>
        </w:rPr>
        <w:t xml:space="preserve"> </w:t>
      </w:r>
      <w:r w:rsidR="004E3FA8">
        <w:rPr>
          <w:sz w:val="24"/>
          <w:szCs w:val="24"/>
          <w:lang w:val="sr-Cyrl-RS"/>
        </w:rPr>
        <w:t>и М</w:t>
      </w:r>
      <w:r w:rsidR="007272DF">
        <w:rPr>
          <w:sz w:val="24"/>
          <w:szCs w:val="24"/>
          <w:lang w:val="sr-Cyrl-RS"/>
        </w:rPr>
        <w:t>МС</w:t>
      </w:r>
      <w:r>
        <w:rPr>
          <w:sz w:val="24"/>
          <w:szCs w:val="24"/>
          <w:lang w:val="sr-Cyrl-RS"/>
        </w:rPr>
        <w:t xml:space="preserve">П може бити један од узрока </w:t>
      </w:r>
      <w:r w:rsidR="004E3FA8">
        <w:rPr>
          <w:sz w:val="24"/>
          <w:szCs w:val="24"/>
          <w:lang w:val="sr-Cyrl-RS"/>
        </w:rPr>
        <w:t>мањег учешћа М</w:t>
      </w:r>
      <w:r w:rsidR="007272DF">
        <w:rPr>
          <w:sz w:val="24"/>
          <w:szCs w:val="24"/>
          <w:lang w:val="sr-Cyrl-RS"/>
        </w:rPr>
        <w:t>М</w:t>
      </w:r>
      <w:r w:rsidR="004E3FA8">
        <w:rPr>
          <w:sz w:val="24"/>
          <w:szCs w:val="24"/>
          <w:lang w:val="sr-Cyrl-RS"/>
        </w:rPr>
        <w:t>СП</w:t>
      </w:r>
      <w:r w:rsidR="00B440BE">
        <w:rPr>
          <w:sz w:val="24"/>
          <w:szCs w:val="24"/>
          <w:lang w:val="sr-Cyrl-RS"/>
        </w:rPr>
        <w:t xml:space="preserve"> у поступцима јавних набавки. У појединим земљама урађени су приручници за нару</w:t>
      </w:r>
      <w:r w:rsidR="004E3FA8">
        <w:rPr>
          <w:sz w:val="24"/>
          <w:szCs w:val="24"/>
          <w:lang w:val="sr-Cyrl-RS"/>
        </w:rPr>
        <w:t>чиоце и за понуђаче са нагласком на потребе М</w:t>
      </w:r>
      <w:r w:rsidR="007272DF">
        <w:rPr>
          <w:sz w:val="24"/>
          <w:szCs w:val="24"/>
          <w:lang w:val="sr-Cyrl-RS"/>
        </w:rPr>
        <w:t>МС</w:t>
      </w:r>
      <w:r w:rsidR="00B440BE">
        <w:rPr>
          <w:sz w:val="24"/>
          <w:szCs w:val="24"/>
          <w:lang w:val="sr-Cyrl-RS"/>
        </w:rPr>
        <w:t xml:space="preserve">П. </w:t>
      </w:r>
      <w:r w:rsidR="00394F20">
        <w:rPr>
          <w:sz w:val="24"/>
          <w:szCs w:val="24"/>
          <w:lang w:val="sr-Cyrl-RS"/>
        </w:rPr>
        <w:t>Као пример добре праксе којим се дају смернице наручио</w:t>
      </w:r>
      <w:r w:rsidR="004E3FA8">
        <w:rPr>
          <w:sz w:val="24"/>
          <w:szCs w:val="24"/>
          <w:lang w:val="sr-Cyrl-RS"/>
        </w:rPr>
        <w:t xml:space="preserve">цима како </w:t>
      </w:r>
      <w:r w:rsidR="004E3FA8">
        <w:rPr>
          <w:sz w:val="24"/>
          <w:szCs w:val="24"/>
          <w:lang w:val="sr-Cyrl-RS"/>
        </w:rPr>
        <w:lastRenderedPageBreak/>
        <w:t>да олакшају учешће М</w:t>
      </w:r>
      <w:r w:rsidR="007272DF">
        <w:rPr>
          <w:sz w:val="24"/>
          <w:szCs w:val="24"/>
          <w:lang w:val="sr-Cyrl-RS"/>
        </w:rPr>
        <w:t>МС</w:t>
      </w:r>
      <w:r w:rsidR="00394F20">
        <w:rPr>
          <w:sz w:val="24"/>
          <w:szCs w:val="24"/>
          <w:lang w:val="sr-Cyrl-RS"/>
        </w:rPr>
        <w:t xml:space="preserve">П је </w:t>
      </w:r>
      <w:r w:rsidR="00697278">
        <w:rPr>
          <w:sz w:val="24"/>
          <w:szCs w:val="24"/>
          <w:lang w:val="sr-Cyrl-RS"/>
        </w:rPr>
        <w:t xml:space="preserve">брошура </w:t>
      </w:r>
      <w:r w:rsidR="00394F20">
        <w:rPr>
          <w:sz w:val="24"/>
          <w:szCs w:val="24"/>
          <w:lang w:val="sr-Cyrl-RS"/>
        </w:rPr>
        <w:t>„</w:t>
      </w:r>
      <w:r w:rsidR="00394F20">
        <w:rPr>
          <w:sz w:val="24"/>
          <w:szCs w:val="24"/>
        </w:rPr>
        <w:t>Small supplier better value“</w:t>
      </w:r>
      <w:r w:rsidR="004E3FA8">
        <w:rPr>
          <w:rStyle w:val="FootnoteReference"/>
          <w:sz w:val="24"/>
          <w:szCs w:val="24"/>
        </w:rPr>
        <w:footnoteReference w:id="25"/>
      </w:r>
      <w:r w:rsidR="00394F20">
        <w:rPr>
          <w:sz w:val="24"/>
          <w:szCs w:val="24"/>
        </w:rPr>
        <w:t xml:space="preserve"> </w:t>
      </w:r>
      <w:r w:rsidR="00B926EE">
        <w:rPr>
          <w:sz w:val="24"/>
          <w:szCs w:val="24"/>
          <w:lang w:val="sr-Cyrl-RS"/>
        </w:rPr>
        <w:t>која је имала</w:t>
      </w:r>
      <w:r w:rsidR="00394F20">
        <w:rPr>
          <w:sz w:val="24"/>
          <w:szCs w:val="24"/>
          <w:lang w:val="sr-Cyrl-RS"/>
        </w:rPr>
        <w:t xml:space="preserve"> за циљ да подигне свест наручилаца о могућностима остваре</w:t>
      </w:r>
      <w:r w:rsidR="00FA3897">
        <w:rPr>
          <w:sz w:val="24"/>
          <w:szCs w:val="24"/>
          <w:lang w:val="sr-Cyrl-RS"/>
        </w:rPr>
        <w:t>ња „вредности за новац“ које М</w:t>
      </w:r>
      <w:r w:rsidR="007272DF">
        <w:rPr>
          <w:sz w:val="24"/>
          <w:szCs w:val="24"/>
          <w:lang w:val="sr-Cyrl-RS"/>
        </w:rPr>
        <w:t>М</w:t>
      </w:r>
      <w:r w:rsidR="00FA3897">
        <w:rPr>
          <w:sz w:val="24"/>
          <w:szCs w:val="24"/>
          <w:lang w:val="sr-Cyrl-RS"/>
        </w:rPr>
        <w:t>СП могу да понуде.</w:t>
      </w:r>
      <w:r w:rsidR="007272DF">
        <w:rPr>
          <w:sz w:val="24"/>
          <w:szCs w:val="24"/>
          <w:lang w:val="sr-Cyrl-RS"/>
        </w:rPr>
        <w:t xml:space="preserve"> У том смислу наведена брошура </w:t>
      </w:r>
      <w:r w:rsidR="00FA3897">
        <w:rPr>
          <w:sz w:val="24"/>
          <w:szCs w:val="24"/>
          <w:lang w:val="sr-Cyrl-RS"/>
        </w:rPr>
        <w:t>укратко описује с</w:t>
      </w:r>
      <w:r w:rsidR="00394F20">
        <w:rPr>
          <w:sz w:val="24"/>
          <w:szCs w:val="24"/>
          <w:lang w:val="sr-Cyrl-RS"/>
        </w:rPr>
        <w:t xml:space="preserve"> којим</w:t>
      </w:r>
      <w:r w:rsidR="004E3FA8">
        <w:rPr>
          <w:sz w:val="24"/>
          <w:szCs w:val="24"/>
          <w:lang w:val="sr-Cyrl-RS"/>
        </w:rPr>
        <w:t xml:space="preserve"> проблемима се могу сусрести М</w:t>
      </w:r>
      <w:r w:rsidR="007272DF">
        <w:rPr>
          <w:sz w:val="24"/>
          <w:szCs w:val="24"/>
          <w:lang w:val="sr-Cyrl-RS"/>
        </w:rPr>
        <w:t>МС</w:t>
      </w:r>
      <w:r w:rsidR="00394F20">
        <w:rPr>
          <w:sz w:val="24"/>
          <w:szCs w:val="24"/>
          <w:lang w:val="sr-Cyrl-RS"/>
        </w:rPr>
        <w:t xml:space="preserve">П и на који начин би се ти проблеми могли превазићи. </w:t>
      </w:r>
      <w:r w:rsidR="007E11D3">
        <w:rPr>
          <w:sz w:val="24"/>
          <w:szCs w:val="24"/>
          <w:lang w:val="sr-Cyrl-RS"/>
        </w:rPr>
        <w:t xml:space="preserve">У Холандији је Министарство привреде основало агенцију </w:t>
      </w:r>
      <w:r w:rsidR="007E11D3">
        <w:rPr>
          <w:sz w:val="24"/>
          <w:szCs w:val="24"/>
        </w:rPr>
        <w:t>„PianoO“</w:t>
      </w:r>
      <w:r w:rsidR="00FA3897">
        <w:rPr>
          <w:rStyle w:val="FootnoteReference"/>
          <w:sz w:val="24"/>
          <w:szCs w:val="24"/>
        </w:rPr>
        <w:footnoteReference w:id="26"/>
      </w:r>
      <w:r w:rsidR="007E11D3">
        <w:rPr>
          <w:sz w:val="24"/>
          <w:szCs w:val="24"/>
        </w:rPr>
        <w:t xml:space="preserve"> </w:t>
      </w:r>
      <w:r w:rsidR="007E11D3">
        <w:rPr>
          <w:sz w:val="24"/>
          <w:szCs w:val="24"/>
          <w:lang w:val="sr-Cyrl-RS"/>
        </w:rPr>
        <w:t xml:space="preserve">која помаже наручиоцима да буду професионалнији у својим набавкама. На свом сајту </w:t>
      </w:r>
      <w:r w:rsidR="00EE4B06">
        <w:rPr>
          <w:sz w:val="24"/>
          <w:szCs w:val="24"/>
          <w:lang w:val="sr-Cyrl-RS"/>
        </w:rPr>
        <w:t xml:space="preserve">„PianoO“ </w:t>
      </w:r>
      <w:r w:rsidR="007272DF">
        <w:rPr>
          <w:sz w:val="24"/>
          <w:szCs w:val="24"/>
          <w:lang w:val="sr-Cyrl-RS"/>
        </w:rPr>
        <w:t>објављује</w:t>
      </w:r>
      <w:r w:rsidR="007E11D3">
        <w:rPr>
          <w:sz w:val="24"/>
          <w:szCs w:val="24"/>
          <w:lang w:val="sr-Cyrl-RS"/>
        </w:rPr>
        <w:t xml:space="preserve"> </w:t>
      </w:r>
      <w:r w:rsidR="00FA3897">
        <w:rPr>
          <w:sz w:val="24"/>
          <w:szCs w:val="24"/>
          <w:lang w:val="sr-Cyrl-RS"/>
        </w:rPr>
        <w:t>информације</w:t>
      </w:r>
      <w:r w:rsidR="00EE4B06">
        <w:rPr>
          <w:sz w:val="24"/>
          <w:szCs w:val="24"/>
          <w:lang w:val="sr-Cyrl-RS"/>
        </w:rPr>
        <w:t xml:space="preserve"> у вези са </w:t>
      </w:r>
      <w:r w:rsidR="009C605E">
        <w:rPr>
          <w:sz w:val="24"/>
          <w:szCs w:val="24"/>
          <w:lang w:val="sr-Cyrl-RS"/>
        </w:rPr>
        <w:t xml:space="preserve">легислативом у области јавних набавки, те примерима добре праксе. </w:t>
      </w:r>
      <w:r w:rsidR="009C605E">
        <w:rPr>
          <w:sz w:val="24"/>
          <w:szCs w:val="24"/>
        </w:rPr>
        <w:t xml:space="preserve">„PianoO“ </w:t>
      </w:r>
      <w:r w:rsidR="009C605E">
        <w:rPr>
          <w:sz w:val="24"/>
          <w:szCs w:val="24"/>
          <w:lang w:val="sr-Cyrl-RS"/>
        </w:rPr>
        <w:t xml:space="preserve">такође, подстиче дијалоге између јавног и приватног сектора и у својој мрежи ради са око 3.500 професионалаца у јавним набавкама. </w:t>
      </w:r>
      <w:r w:rsidR="004A7320">
        <w:rPr>
          <w:sz w:val="24"/>
          <w:szCs w:val="24"/>
          <w:lang w:val="sr-Cyrl-RS"/>
        </w:rPr>
        <w:t>Усавршавање у области јавних набавки је потребно и понуђачима, нарочито М</w:t>
      </w:r>
      <w:r w:rsidR="007272DF">
        <w:rPr>
          <w:sz w:val="24"/>
          <w:szCs w:val="24"/>
          <w:lang w:val="sr-Cyrl-RS"/>
        </w:rPr>
        <w:t>М</w:t>
      </w:r>
      <w:r w:rsidR="004A7320">
        <w:rPr>
          <w:sz w:val="24"/>
          <w:szCs w:val="24"/>
          <w:lang w:val="sr-Cyrl-RS"/>
        </w:rPr>
        <w:t>СП јер најчешће немају</w:t>
      </w:r>
      <w:r w:rsidR="00735573">
        <w:rPr>
          <w:sz w:val="24"/>
          <w:szCs w:val="24"/>
          <w:lang w:val="sr-Cyrl-RS"/>
        </w:rPr>
        <w:t xml:space="preserve"> довољног административног капацитета које се искључиво бави јавним набавкама и у свему разуме „језик“ јавних набавки. Зато је неопходно организовати радионице и</w:t>
      </w:r>
      <w:r w:rsidR="00FA3897">
        <w:rPr>
          <w:sz w:val="24"/>
          <w:szCs w:val="24"/>
          <w:lang w:val="sr-Cyrl-RS"/>
        </w:rPr>
        <w:t xml:space="preserve"> тренинге намењене искључиво М</w:t>
      </w:r>
      <w:r w:rsidR="007272DF">
        <w:rPr>
          <w:sz w:val="24"/>
          <w:szCs w:val="24"/>
          <w:lang w:val="sr-Cyrl-RS"/>
        </w:rPr>
        <w:t>МС</w:t>
      </w:r>
      <w:r w:rsidR="00735573">
        <w:rPr>
          <w:sz w:val="24"/>
          <w:szCs w:val="24"/>
          <w:lang w:val="sr-Cyrl-RS"/>
        </w:rPr>
        <w:t xml:space="preserve">П, те припремити и водиче који ће </w:t>
      </w:r>
      <w:r w:rsidR="00FA3897">
        <w:rPr>
          <w:sz w:val="24"/>
          <w:szCs w:val="24"/>
          <w:lang w:val="sr-Cyrl-RS"/>
        </w:rPr>
        <w:t xml:space="preserve">им </w:t>
      </w:r>
      <w:r w:rsidR="00735573">
        <w:rPr>
          <w:sz w:val="24"/>
          <w:szCs w:val="24"/>
          <w:lang w:val="sr-Cyrl-RS"/>
        </w:rPr>
        <w:t>бити од помоћи у поступцима ј</w:t>
      </w:r>
      <w:r w:rsidR="00FA3897">
        <w:rPr>
          <w:sz w:val="24"/>
          <w:szCs w:val="24"/>
          <w:lang w:val="sr-Cyrl-RS"/>
        </w:rPr>
        <w:t>а</w:t>
      </w:r>
      <w:r w:rsidR="00735573">
        <w:rPr>
          <w:sz w:val="24"/>
          <w:szCs w:val="24"/>
          <w:lang w:val="sr-Cyrl-RS"/>
        </w:rPr>
        <w:t>вних набавки. У Француској је урађен детаљан водич за М</w:t>
      </w:r>
      <w:r w:rsidR="007272DF">
        <w:rPr>
          <w:sz w:val="24"/>
          <w:szCs w:val="24"/>
          <w:lang w:val="sr-Cyrl-RS"/>
        </w:rPr>
        <w:t>М</w:t>
      </w:r>
      <w:r w:rsidR="00735573">
        <w:rPr>
          <w:sz w:val="24"/>
          <w:szCs w:val="24"/>
          <w:lang w:val="sr-Cyrl-RS"/>
        </w:rPr>
        <w:t>СП „</w:t>
      </w:r>
      <w:r w:rsidR="00735573">
        <w:rPr>
          <w:sz w:val="24"/>
          <w:szCs w:val="24"/>
        </w:rPr>
        <w:t>Guide pratique pour la réponse</w:t>
      </w:r>
      <w:r w:rsidR="00735573">
        <w:rPr>
          <w:sz w:val="24"/>
          <w:szCs w:val="24"/>
          <w:lang w:val="sr-Cyrl-RS"/>
        </w:rPr>
        <w:t xml:space="preserve"> </w:t>
      </w:r>
      <w:r w:rsidR="00647004">
        <w:rPr>
          <w:sz w:val="24"/>
          <w:szCs w:val="24"/>
        </w:rPr>
        <w:t>des PME à la commande Publique“</w:t>
      </w:r>
      <w:r w:rsidR="00FA3897">
        <w:rPr>
          <w:rStyle w:val="FootnoteReference"/>
          <w:sz w:val="24"/>
          <w:szCs w:val="24"/>
        </w:rPr>
        <w:footnoteReference w:id="27"/>
      </w:r>
      <w:r w:rsidR="00647004">
        <w:rPr>
          <w:sz w:val="24"/>
          <w:szCs w:val="24"/>
        </w:rPr>
        <w:t xml:space="preserve">. </w:t>
      </w:r>
      <w:r w:rsidR="00FA3897">
        <w:rPr>
          <w:sz w:val="24"/>
          <w:szCs w:val="24"/>
          <w:lang w:val="sr-Cyrl-RS"/>
        </w:rPr>
        <w:t>Наведени водич даје М</w:t>
      </w:r>
      <w:r w:rsidR="007272DF">
        <w:rPr>
          <w:sz w:val="24"/>
          <w:szCs w:val="24"/>
          <w:lang w:val="sr-Cyrl-RS"/>
        </w:rPr>
        <w:t>МС</w:t>
      </w:r>
      <w:r w:rsidR="00647004">
        <w:rPr>
          <w:sz w:val="24"/>
          <w:szCs w:val="24"/>
          <w:lang w:val="sr-Cyrl-RS"/>
        </w:rPr>
        <w:t>П упутства како да дођу до информација о набавкама, како да разумеју потребе наручилаца на основу објављене документације, како да процене да ли располажу капацитетима за конкретну набавку итд... Велика Британија је отишла и к</w:t>
      </w:r>
      <w:r w:rsidR="00012E14">
        <w:rPr>
          <w:sz w:val="24"/>
          <w:szCs w:val="24"/>
          <w:lang w:val="sr-Cyrl-RS"/>
        </w:rPr>
        <w:t>орак напред, те је развила и М</w:t>
      </w:r>
      <w:r w:rsidR="007272DF">
        <w:rPr>
          <w:sz w:val="24"/>
          <w:szCs w:val="24"/>
          <w:lang w:val="sr-Cyrl-RS"/>
        </w:rPr>
        <w:t>МС</w:t>
      </w:r>
      <w:r w:rsidR="00647004">
        <w:rPr>
          <w:sz w:val="24"/>
          <w:szCs w:val="24"/>
          <w:lang w:val="sr-Cyrl-RS"/>
        </w:rPr>
        <w:t>П тр</w:t>
      </w:r>
      <w:r w:rsidR="00C252F9">
        <w:rPr>
          <w:sz w:val="24"/>
          <w:szCs w:val="24"/>
          <w:lang w:val="sr-Cyrl-RS"/>
        </w:rPr>
        <w:t>енинг програм. Циљ овог програма је да обезбеди потребна знања за учествовање у поступцима јавних набавки и подигне свест наручилаца о проблемима са којима се суочавају М</w:t>
      </w:r>
      <w:r w:rsidR="007272DF">
        <w:rPr>
          <w:sz w:val="24"/>
          <w:szCs w:val="24"/>
          <w:lang w:val="sr-Cyrl-RS"/>
        </w:rPr>
        <w:t>М</w:t>
      </w:r>
      <w:r w:rsidR="00C252F9">
        <w:rPr>
          <w:sz w:val="24"/>
          <w:szCs w:val="24"/>
          <w:lang w:val="sr-Cyrl-RS"/>
        </w:rPr>
        <w:t xml:space="preserve">СП. Пратећи успех овог програма, Велика Британија је организовала и </w:t>
      </w:r>
      <w:r w:rsidR="00C252F9">
        <w:rPr>
          <w:sz w:val="24"/>
          <w:szCs w:val="24"/>
        </w:rPr>
        <w:t>online</w:t>
      </w:r>
      <w:r w:rsidR="009A74C8">
        <w:rPr>
          <w:sz w:val="24"/>
          <w:szCs w:val="24"/>
          <w:lang w:val="sr-Cyrl-RS"/>
        </w:rPr>
        <w:t xml:space="preserve"> курс за М</w:t>
      </w:r>
      <w:r w:rsidR="007272DF">
        <w:rPr>
          <w:sz w:val="24"/>
          <w:szCs w:val="24"/>
          <w:lang w:val="sr-Cyrl-RS"/>
        </w:rPr>
        <w:t>МС</w:t>
      </w:r>
      <w:r w:rsidR="00C252F9">
        <w:rPr>
          <w:sz w:val="24"/>
          <w:szCs w:val="24"/>
          <w:lang w:val="sr-Cyrl-RS"/>
        </w:rPr>
        <w:t>П назван „</w:t>
      </w:r>
      <w:r w:rsidR="00C252F9">
        <w:rPr>
          <w:sz w:val="24"/>
          <w:szCs w:val="24"/>
        </w:rPr>
        <w:t>Winning the Contract</w:t>
      </w:r>
      <w:r w:rsidR="00C252F9">
        <w:rPr>
          <w:sz w:val="24"/>
          <w:szCs w:val="24"/>
          <w:lang w:val="sr-Cyrl-RS"/>
        </w:rPr>
        <w:t xml:space="preserve">“ који обезбеђује практичне савете </w:t>
      </w:r>
      <w:r w:rsidR="004F5597">
        <w:rPr>
          <w:sz w:val="24"/>
          <w:szCs w:val="24"/>
          <w:lang w:val="sr-Cyrl-RS"/>
        </w:rPr>
        <w:t>са проналажење могућих послова</w:t>
      </w:r>
      <w:r w:rsidR="00C252F9">
        <w:rPr>
          <w:sz w:val="24"/>
          <w:szCs w:val="24"/>
        </w:rPr>
        <w:t>.</w:t>
      </w:r>
      <w:r w:rsidR="00C252F9">
        <w:rPr>
          <w:sz w:val="24"/>
          <w:szCs w:val="24"/>
          <w:lang w:val="sr-Cyrl-RS"/>
        </w:rPr>
        <w:t xml:space="preserve"> </w:t>
      </w:r>
      <w:r w:rsidR="0019256B">
        <w:rPr>
          <w:sz w:val="24"/>
          <w:szCs w:val="24"/>
          <w:lang w:val="sr-Cyrl-RS"/>
        </w:rPr>
        <w:t>Европска комисија је посебну пажњу посветила М</w:t>
      </w:r>
      <w:r w:rsidR="007272DF">
        <w:rPr>
          <w:sz w:val="24"/>
          <w:szCs w:val="24"/>
          <w:lang w:val="sr-Cyrl-RS"/>
        </w:rPr>
        <w:t>МС</w:t>
      </w:r>
      <w:r w:rsidR="0019256B">
        <w:rPr>
          <w:sz w:val="24"/>
          <w:szCs w:val="24"/>
          <w:lang w:val="sr-Cyrl-RS"/>
        </w:rPr>
        <w:t>П и формирала Портал намењен искључиво М</w:t>
      </w:r>
      <w:r w:rsidR="007272DF">
        <w:rPr>
          <w:sz w:val="24"/>
          <w:szCs w:val="24"/>
          <w:lang w:val="sr-Cyrl-RS"/>
        </w:rPr>
        <w:t>МС</w:t>
      </w:r>
      <w:r w:rsidR="0019256B">
        <w:rPr>
          <w:sz w:val="24"/>
          <w:szCs w:val="24"/>
          <w:lang w:val="sr-Cyrl-RS"/>
        </w:rPr>
        <w:t>П – „</w:t>
      </w:r>
      <w:r w:rsidR="0019256B">
        <w:rPr>
          <w:sz w:val="24"/>
          <w:szCs w:val="24"/>
        </w:rPr>
        <w:t xml:space="preserve">European Small Business Portal“ </w:t>
      </w:r>
      <w:r w:rsidR="0019256B">
        <w:rPr>
          <w:sz w:val="24"/>
          <w:szCs w:val="24"/>
          <w:lang w:val="sr-Cyrl-RS"/>
        </w:rPr>
        <w:t>који обезбеђује значајне информације М</w:t>
      </w:r>
      <w:r w:rsidR="007272DF">
        <w:rPr>
          <w:sz w:val="24"/>
          <w:szCs w:val="24"/>
          <w:lang w:val="sr-Cyrl-RS"/>
        </w:rPr>
        <w:t>МСП</w:t>
      </w:r>
      <w:r w:rsidR="0019256B">
        <w:rPr>
          <w:sz w:val="24"/>
          <w:szCs w:val="24"/>
          <w:lang w:val="sr-Cyrl-RS"/>
        </w:rPr>
        <w:t xml:space="preserve"> (нпр: кредитирање, гаранције, правила пословања у ЕУ, истраживање, развој и иновације, пословање изван ЕУ итд.)</w:t>
      </w:r>
      <w:r w:rsidR="0019256B">
        <w:rPr>
          <w:rStyle w:val="FootnoteReference"/>
          <w:sz w:val="24"/>
          <w:szCs w:val="24"/>
          <w:lang w:val="sr-Cyrl-RS"/>
        </w:rPr>
        <w:footnoteReference w:id="28"/>
      </w:r>
      <w:r w:rsidR="0019256B">
        <w:rPr>
          <w:sz w:val="24"/>
          <w:szCs w:val="24"/>
        </w:rPr>
        <w:t xml:space="preserve">. </w:t>
      </w:r>
      <w:r w:rsidR="00012E14" w:rsidRPr="00012E14">
        <w:rPr>
          <w:sz w:val="24"/>
          <w:szCs w:val="24"/>
          <w:lang w:val="sr-Cyrl-RS"/>
        </w:rPr>
        <w:t xml:space="preserve">У Стратегији развоја јавних набавки у Републици Србији за период 2014-2018. године, </w:t>
      </w:r>
      <w:r w:rsidR="007272DF">
        <w:rPr>
          <w:sz w:val="24"/>
          <w:szCs w:val="24"/>
          <w:lang w:val="sr-Cyrl-RS"/>
        </w:rPr>
        <w:t>односно у Акционом плану за 2016</w:t>
      </w:r>
      <w:r w:rsidR="00012E14" w:rsidRPr="00012E14">
        <w:rPr>
          <w:sz w:val="24"/>
          <w:szCs w:val="24"/>
          <w:lang w:val="sr-Cyrl-RS"/>
        </w:rPr>
        <w:t>. годину предвиђена је</w:t>
      </w:r>
      <w:r w:rsidR="007272DF">
        <w:rPr>
          <w:sz w:val="24"/>
          <w:szCs w:val="24"/>
          <w:lang w:val="sr-Cyrl-RS"/>
        </w:rPr>
        <w:t xml:space="preserve"> </w:t>
      </w:r>
      <w:r w:rsidR="004A36FE">
        <w:rPr>
          <w:sz w:val="24"/>
          <w:szCs w:val="24"/>
          <w:lang w:val="sr-Cyrl-RS"/>
        </w:rPr>
        <w:t xml:space="preserve">даља, </w:t>
      </w:r>
      <w:r w:rsidR="007272DF">
        <w:rPr>
          <w:sz w:val="24"/>
          <w:szCs w:val="24"/>
          <w:lang w:val="sr-Cyrl-RS"/>
        </w:rPr>
        <w:t>континуирана обука ММСП. У 2015</w:t>
      </w:r>
      <w:r w:rsidR="00012E14" w:rsidRPr="00012E14">
        <w:rPr>
          <w:sz w:val="24"/>
          <w:szCs w:val="24"/>
          <w:lang w:val="sr-Cyrl-RS"/>
        </w:rPr>
        <w:t>. години су у сарадњи са Привредном комором Србије одржане две радионице намењене искључиво М</w:t>
      </w:r>
      <w:r w:rsidR="007272DF">
        <w:rPr>
          <w:sz w:val="24"/>
          <w:szCs w:val="24"/>
          <w:lang w:val="sr-Cyrl-RS"/>
        </w:rPr>
        <w:t>МС</w:t>
      </w:r>
      <w:r w:rsidR="00012E14" w:rsidRPr="00012E14">
        <w:rPr>
          <w:sz w:val="24"/>
          <w:szCs w:val="24"/>
          <w:lang w:val="sr-Cyrl-RS"/>
        </w:rPr>
        <w:t xml:space="preserve">П. </w:t>
      </w:r>
    </w:p>
    <w:p w:rsidR="009A74C8" w:rsidRDefault="009A74C8" w:rsidP="001D3AB4">
      <w:pPr>
        <w:spacing w:after="0"/>
        <w:ind w:firstLine="708"/>
        <w:jc w:val="both"/>
        <w:rPr>
          <w:sz w:val="24"/>
          <w:szCs w:val="24"/>
          <w:lang w:val="sr-Cyrl-RS"/>
        </w:rPr>
      </w:pPr>
    </w:p>
    <w:p w:rsidR="007272DF" w:rsidRDefault="007272DF" w:rsidP="001D3AB4">
      <w:pPr>
        <w:spacing w:after="0"/>
        <w:ind w:firstLine="708"/>
        <w:jc w:val="both"/>
        <w:rPr>
          <w:b/>
          <w:sz w:val="24"/>
          <w:szCs w:val="24"/>
          <w:lang w:val="sr-Cyrl-RS"/>
        </w:rPr>
      </w:pPr>
    </w:p>
    <w:p w:rsidR="007272DF" w:rsidRDefault="007272DF" w:rsidP="001D3AB4">
      <w:pPr>
        <w:spacing w:after="0"/>
        <w:ind w:firstLine="708"/>
        <w:jc w:val="both"/>
        <w:rPr>
          <w:b/>
          <w:sz w:val="24"/>
          <w:szCs w:val="24"/>
          <w:lang w:val="sr-Cyrl-RS"/>
        </w:rPr>
      </w:pPr>
    </w:p>
    <w:p w:rsidR="007272DF" w:rsidRDefault="007272DF" w:rsidP="001D3AB4">
      <w:pPr>
        <w:spacing w:after="0"/>
        <w:ind w:firstLine="708"/>
        <w:jc w:val="both"/>
        <w:rPr>
          <w:b/>
          <w:sz w:val="24"/>
          <w:szCs w:val="24"/>
          <w:lang w:val="sr-Cyrl-RS"/>
        </w:rPr>
      </w:pPr>
    </w:p>
    <w:p w:rsidR="007860B8" w:rsidRDefault="007860B8" w:rsidP="001D3AB4">
      <w:pPr>
        <w:spacing w:after="0"/>
        <w:ind w:firstLine="708"/>
        <w:jc w:val="both"/>
        <w:rPr>
          <w:b/>
          <w:sz w:val="24"/>
          <w:szCs w:val="24"/>
          <w:lang w:val="sr-Cyrl-RS"/>
        </w:rPr>
      </w:pPr>
    </w:p>
    <w:p w:rsidR="007860B8" w:rsidRDefault="007860B8" w:rsidP="001D3AB4">
      <w:pPr>
        <w:spacing w:after="0"/>
        <w:ind w:firstLine="708"/>
        <w:jc w:val="both"/>
        <w:rPr>
          <w:b/>
          <w:sz w:val="24"/>
          <w:szCs w:val="24"/>
          <w:lang w:val="sr-Cyrl-RS"/>
        </w:rPr>
      </w:pPr>
    </w:p>
    <w:p w:rsidR="009A74C8" w:rsidRPr="009A74C8" w:rsidRDefault="009A74C8" w:rsidP="001D3AB4">
      <w:pPr>
        <w:spacing w:after="0"/>
        <w:ind w:firstLine="708"/>
        <w:jc w:val="both"/>
        <w:rPr>
          <w:b/>
          <w:sz w:val="24"/>
          <w:szCs w:val="24"/>
          <w:lang w:val="sr-Cyrl-RS"/>
        </w:rPr>
      </w:pPr>
      <w:r w:rsidRPr="009A74C8">
        <w:rPr>
          <w:b/>
          <w:sz w:val="24"/>
          <w:szCs w:val="24"/>
          <w:lang w:val="sr-Cyrl-RS"/>
        </w:rPr>
        <w:t>2.5. Давање предности најниже понуђеној цени у односу на критеријум</w:t>
      </w:r>
      <w:r w:rsidR="006B5A9A">
        <w:rPr>
          <w:b/>
          <w:sz w:val="24"/>
          <w:szCs w:val="24"/>
          <w:lang w:val="sr-Cyrl-RS"/>
        </w:rPr>
        <w:t xml:space="preserve"> </w:t>
      </w:r>
      <w:r w:rsidRPr="009A74C8">
        <w:rPr>
          <w:b/>
          <w:sz w:val="24"/>
          <w:szCs w:val="24"/>
          <w:lang w:val="sr-Cyrl-RS"/>
        </w:rPr>
        <w:t>економски најповољнија понуда</w:t>
      </w:r>
    </w:p>
    <w:p w:rsidR="009A74C8" w:rsidRDefault="009A74C8" w:rsidP="001D3AB4">
      <w:pPr>
        <w:spacing w:after="0"/>
        <w:ind w:firstLine="708"/>
        <w:jc w:val="both"/>
        <w:rPr>
          <w:sz w:val="24"/>
          <w:szCs w:val="24"/>
          <w:lang w:val="sr-Cyrl-RS"/>
        </w:rPr>
      </w:pPr>
    </w:p>
    <w:p w:rsidR="00406545" w:rsidRPr="00406545" w:rsidRDefault="001E0953" w:rsidP="009A74C8">
      <w:pPr>
        <w:spacing w:after="0"/>
        <w:jc w:val="both"/>
        <w:rPr>
          <w:sz w:val="24"/>
          <w:szCs w:val="24"/>
          <w:lang w:val="sr-Cyrl-RS"/>
        </w:rPr>
      </w:pPr>
      <w:r>
        <w:rPr>
          <w:color w:val="FF0000"/>
          <w:sz w:val="24"/>
          <w:szCs w:val="24"/>
          <w:lang w:val="sr-Cyrl-RS"/>
        </w:rPr>
        <w:tab/>
      </w:r>
      <w:r w:rsidRPr="001E0953">
        <w:rPr>
          <w:sz w:val="24"/>
          <w:szCs w:val="24"/>
          <w:lang w:val="sr-Cyrl-RS"/>
        </w:rPr>
        <w:t xml:space="preserve">Један </w:t>
      </w:r>
      <w:r>
        <w:rPr>
          <w:sz w:val="24"/>
          <w:szCs w:val="24"/>
          <w:lang w:val="sr-Cyrl-RS"/>
        </w:rPr>
        <w:t>о</w:t>
      </w:r>
      <w:r w:rsidR="009A74C8">
        <w:rPr>
          <w:sz w:val="24"/>
          <w:szCs w:val="24"/>
          <w:lang w:val="sr-Cyrl-RS"/>
        </w:rPr>
        <w:t>д кључних проблема за учешће М</w:t>
      </w:r>
      <w:r w:rsidR="007272DF">
        <w:rPr>
          <w:sz w:val="24"/>
          <w:szCs w:val="24"/>
          <w:lang w:val="sr-Cyrl-RS"/>
        </w:rPr>
        <w:t>МС</w:t>
      </w:r>
      <w:r>
        <w:rPr>
          <w:sz w:val="24"/>
          <w:szCs w:val="24"/>
          <w:lang w:val="sr-Cyrl-RS"/>
        </w:rPr>
        <w:t xml:space="preserve">П у поступцима је немогућност да </w:t>
      </w:r>
      <w:r w:rsidR="00340E60">
        <w:rPr>
          <w:sz w:val="24"/>
          <w:szCs w:val="24"/>
          <w:lang w:val="sr-Cyrl-RS"/>
        </w:rPr>
        <w:t>буду конку</w:t>
      </w:r>
      <w:r w:rsidR="0091666F">
        <w:rPr>
          <w:sz w:val="24"/>
          <w:szCs w:val="24"/>
          <w:lang w:val="sr-Cyrl-RS"/>
        </w:rPr>
        <w:t>р</w:t>
      </w:r>
      <w:r w:rsidR="00340E60">
        <w:rPr>
          <w:sz w:val="24"/>
          <w:szCs w:val="24"/>
          <w:lang w:val="sr-Cyrl-RS"/>
        </w:rPr>
        <w:t>ентни великим понуђачима уколико се избор најповољније понуде сведе искључиво на критеријум најниже понуђене цене. Зато је препорука да се више користи могућност које пружа критеријум економски најповољнија понуда</w:t>
      </w:r>
      <w:r w:rsidR="004A36FE">
        <w:rPr>
          <w:sz w:val="24"/>
          <w:szCs w:val="24"/>
          <w:lang w:val="sr-Cyrl-RS"/>
        </w:rPr>
        <w:t>,</w:t>
      </w:r>
      <w:r w:rsidR="00340E60">
        <w:rPr>
          <w:sz w:val="24"/>
          <w:szCs w:val="24"/>
          <w:lang w:val="sr-Cyrl-RS"/>
        </w:rPr>
        <w:t xml:space="preserve"> који кроз различите елементе критеријума обезбеђује да се поред цене набавке узму у обзир и остали битни елементи који се односе и који су у вези са предметом набавке као што су: квалитет, текући трошкови, трошковна економичност, техничке и технолошке предности, пост-продајно сервисирање и техничка помоћ итд. </w:t>
      </w:r>
      <w:r w:rsidR="009A74C8">
        <w:rPr>
          <w:sz w:val="24"/>
          <w:szCs w:val="24"/>
          <w:lang w:val="sr-Cyrl-RS"/>
        </w:rPr>
        <w:t>На овај начин наручиоци</w:t>
      </w:r>
      <w:r w:rsidR="00340E60">
        <w:rPr>
          <w:sz w:val="24"/>
          <w:szCs w:val="24"/>
          <w:lang w:val="sr-Cyrl-RS"/>
        </w:rPr>
        <w:t xml:space="preserve"> </w:t>
      </w:r>
      <w:r w:rsidR="009A74C8">
        <w:rPr>
          <w:sz w:val="24"/>
          <w:szCs w:val="24"/>
          <w:lang w:val="sr-Cyrl-RS"/>
        </w:rPr>
        <w:t xml:space="preserve">имају </w:t>
      </w:r>
      <w:r w:rsidR="009A74C8" w:rsidRPr="009A74C8">
        <w:rPr>
          <w:sz w:val="24"/>
          <w:szCs w:val="24"/>
          <w:lang w:val="sr-Cyrl-RS"/>
        </w:rPr>
        <w:t xml:space="preserve">могућност </w:t>
      </w:r>
      <w:r w:rsidR="00340E60">
        <w:rPr>
          <w:sz w:val="24"/>
          <w:szCs w:val="24"/>
          <w:lang w:val="sr-Cyrl-RS"/>
        </w:rPr>
        <w:t>да врше евалуацију не само цене конкретног предмета набавке већ да узму у обзир и трошкове животног циклуса који обухватају</w:t>
      </w:r>
      <w:r w:rsidR="009A74C8">
        <w:rPr>
          <w:sz w:val="24"/>
          <w:szCs w:val="24"/>
          <w:lang w:val="sr-Cyrl-RS"/>
        </w:rPr>
        <w:t xml:space="preserve"> трошкове </w:t>
      </w:r>
      <w:r w:rsidR="00406545" w:rsidRPr="00406545">
        <w:rPr>
          <w:sz w:val="24"/>
          <w:szCs w:val="24"/>
          <w:lang w:val="sr-Cyrl-RS"/>
        </w:rPr>
        <w:t>као што су:</w:t>
      </w:r>
    </w:p>
    <w:p w:rsidR="00406545" w:rsidRPr="00406545" w:rsidRDefault="00406545" w:rsidP="00406545">
      <w:pPr>
        <w:spacing w:after="0"/>
        <w:jc w:val="both"/>
        <w:rPr>
          <w:sz w:val="24"/>
          <w:szCs w:val="24"/>
          <w:lang w:val="sr-Cyrl-RS"/>
        </w:rPr>
      </w:pPr>
      <w:r>
        <w:rPr>
          <w:sz w:val="24"/>
          <w:szCs w:val="24"/>
          <w:lang w:val="sr-Cyrl-RS"/>
        </w:rPr>
        <w:t xml:space="preserve">- </w:t>
      </w:r>
      <w:r w:rsidRPr="00406545">
        <w:rPr>
          <w:sz w:val="24"/>
          <w:szCs w:val="24"/>
          <w:lang w:val="sr-Cyrl-RS"/>
        </w:rPr>
        <w:t>трошкови у вези са прибављањем,</w:t>
      </w:r>
    </w:p>
    <w:p w:rsidR="00406545" w:rsidRPr="00406545" w:rsidRDefault="00406545" w:rsidP="00406545">
      <w:pPr>
        <w:spacing w:after="0"/>
        <w:jc w:val="both"/>
        <w:rPr>
          <w:sz w:val="24"/>
          <w:szCs w:val="24"/>
          <w:lang w:val="sr-Cyrl-RS"/>
        </w:rPr>
      </w:pPr>
      <w:r>
        <w:rPr>
          <w:sz w:val="24"/>
          <w:szCs w:val="24"/>
          <w:lang w:val="sr-Cyrl-RS"/>
        </w:rPr>
        <w:t xml:space="preserve">- </w:t>
      </w:r>
      <w:r w:rsidRPr="00406545">
        <w:rPr>
          <w:sz w:val="24"/>
          <w:szCs w:val="24"/>
          <w:lang w:val="sr-Cyrl-RS"/>
        </w:rPr>
        <w:t>трошкови употребе, као што је потрошња енергије и других ресурса,</w:t>
      </w:r>
    </w:p>
    <w:p w:rsidR="00406545" w:rsidRPr="00406545" w:rsidRDefault="00406545" w:rsidP="00406545">
      <w:pPr>
        <w:spacing w:after="0"/>
        <w:jc w:val="both"/>
        <w:rPr>
          <w:sz w:val="24"/>
          <w:szCs w:val="24"/>
          <w:lang w:val="sr-Cyrl-RS"/>
        </w:rPr>
      </w:pPr>
      <w:r>
        <w:rPr>
          <w:sz w:val="24"/>
          <w:szCs w:val="24"/>
          <w:lang w:val="sr-Cyrl-RS"/>
        </w:rPr>
        <w:t xml:space="preserve">- </w:t>
      </w:r>
      <w:r w:rsidRPr="00406545">
        <w:rPr>
          <w:sz w:val="24"/>
          <w:szCs w:val="24"/>
          <w:lang w:val="sr-Cyrl-RS"/>
        </w:rPr>
        <w:t>трошкови одржавања,</w:t>
      </w:r>
    </w:p>
    <w:p w:rsidR="00406545" w:rsidRPr="00406545" w:rsidRDefault="00406545" w:rsidP="00406545">
      <w:pPr>
        <w:spacing w:after="0"/>
        <w:jc w:val="both"/>
        <w:rPr>
          <w:sz w:val="24"/>
          <w:szCs w:val="24"/>
          <w:lang w:val="sr-Cyrl-RS"/>
        </w:rPr>
      </w:pPr>
      <w:r>
        <w:rPr>
          <w:sz w:val="24"/>
          <w:szCs w:val="24"/>
          <w:lang w:val="sr-Cyrl-RS"/>
        </w:rPr>
        <w:t xml:space="preserve">- </w:t>
      </w:r>
      <w:r w:rsidRPr="00406545">
        <w:rPr>
          <w:sz w:val="24"/>
          <w:szCs w:val="24"/>
          <w:lang w:val="sr-Cyrl-RS"/>
        </w:rPr>
        <w:t>трошкови на крају животног циклуса, као што су т</w:t>
      </w:r>
      <w:r w:rsidR="009A74C8">
        <w:rPr>
          <w:sz w:val="24"/>
          <w:szCs w:val="24"/>
          <w:lang w:val="sr-Cyrl-RS"/>
        </w:rPr>
        <w:t>рошкови сакупљања и рециклирања;</w:t>
      </w:r>
    </w:p>
    <w:p w:rsidR="001E0953" w:rsidRDefault="00406545" w:rsidP="00406545">
      <w:pPr>
        <w:spacing w:after="0"/>
        <w:jc w:val="both"/>
        <w:rPr>
          <w:sz w:val="24"/>
          <w:szCs w:val="24"/>
          <w:lang w:val="sr-Cyrl-RS"/>
        </w:rPr>
      </w:pPr>
      <w:r>
        <w:rPr>
          <w:sz w:val="24"/>
          <w:szCs w:val="24"/>
          <w:lang w:val="sr-Cyrl-RS"/>
        </w:rPr>
        <w:t xml:space="preserve">- </w:t>
      </w:r>
      <w:r w:rsidR="009A74C8">
        <w:rPr>
          <w:sz w:val="24"/>
          <w:szCs w:val="24"/>
          <w:lang w:val="sr-Cyrl-RS"/>
        </w:rPr>
        <w:t>трошкови приписани</w:t>
      </w:r>
      <w:r w:rsidRPr="00406545">
        <w:rPr>
          <w:sz w:val="24"/>
          <w:szCs w:val="24"/>
          <w:lang w:val="sr-Cyrl-RS"/>
        </w:rPr>
        <w:t xml:space="preserve"> спољашњим еколошким факторима повезаним са производом, услугом или радовима током њиховог животног циклуса, под условом да се њихова новчана вре</w:t>
      </w:r>
      <w:r>
        <w:rPr>
          <w:sz w:val="24"/>
          <w:szCs w:val="24"/>
          <w:lang w:val="sr-Cyrl-RS"/>
        </w:rPr>
        <w:t>дност може одредити и проверити. П</w:t>
      </w:r>
      <w:r w:rsidRPr="00406545">
        <w:rPr>
          <w:sz w:val="24"/>
          <w:szCs w:val="24"/>
          <w:lang w:val="sr-Cyrl-RS"/>
        </w:rPr>
        <w:t xml:space="preserve">оменути трошкови могу обухватати трошкове емисија гасова са ефектом стаклене баште и емисија других загађивача и друге трошкове ублажавања климатских промена. </w:t>
      </w:r>
      <w:r w:rsidR="00340E60">
        <w:rPr>
          <w:sz w:val="24"/>
          <w:szCs w:val="24"/>
          <w:lang w:val="sr-Cyrl-RS"/>
        </w:rPr>
        <w:t xml:space="preserve">   </w:t>
      </w:r>
    </w:p>
    <w:p w:rsidR="00A00477" w:rsidRDefault="00EC1666" w:rsidP="00A00477">
      <w:pPr>
        <w:spacing w:after="0"/>
        <w:jc w:val="both"/>
        <w:rPr>
          <w:sz w:val="24"/>
          <w:szCs w:val="24"/>
          <w:lang w:val="sr-Cyrl-RS"/>
        </w:rPr>
      </w:pPr>
      <w:r>
        <w:rPr>
          <w:sz w:val="24"/>
          <w:szCs w:val="24"/>
          <w:lang w:val="sr-Cyrl-RS"/>
        </w:rPr>
        <w:tab/>
      </w:r>
      <w:r w:rsidRPr="00A00477">
        <w:rPr>
          <w:sz w:val="24"/>
          <w:szCs w:val="24"/>
          <w:lang w:val="sr-Cyrl-RS"/>
        </w:rPr>
        <w:t>Критеријум најнижа цена се иначе користи као критеријум за избор најповољније понуде само изузетно, када су предмет набавке нека стандардизована добра, услуге или радови. У земљама ЕУ се ређе примењује него што је то случај код нас. Директива 2014/24/ЕУ је предвидела да наручиоци заснивају доделу уговора о јавној набавци на економски најповољнијој понуди</w:t>
      </w:r>
      <w:r w:rsidR="00CD7E1F">
        <w:rPr>
          <w:rStyle w:val="FootnoteReference"/>
          <w:sz w:val="24"/>
          <w:szCs w:val="24"/>
          <w:lang w:val="sr-Cyrl-RS"/>
        </w:rPr>
        <w:footnoteReference w:id="29"/>
      </w:r>
      <w:r w:rsidRPr="00A00477">
        <w:rPr>
          <w:sz w:val="24"/>
          <w:szCs w:val="24"/>
          <w:lang w:val="sr-Cyrl-RS"/>
        </w:rPr>
        <w:t xml:space="preserve">, најнижа понуђена цена као посебан критеријум више не постоји. </w:t>
      </w:r>
      <w:r w:rsidRPr="00A00477">
        <w:rPr>
          <w:rFonts w:eastAsia="Times New Roman" w:cs="Times New Roman"/>
          <w:noProof/>
          <w:vanish/>
          <w:color w:val="800080"/>
          <w:sz w:val="24"/>
          <w:szCs w:val="24"/>
          <w:vertAlign w:val="subscript"/>
          <w:lang w:val="sr-Latn-CS"/>
        </w:rPr>
        <w:t xml:space="preserve"> {0&gt;</w:t>
      </w:r>
      <w:r w:rsidRPr="00A00477">
        <w:rPr>
          <w:rFonts w:eastAsia="Times New Roman" w:cs="Times New Roman"/>
          <w:vanish/>
          <w:sz w:val="24"/>
          <w:szCs w:val="24"/>
          <w:lang w:val="en-GB"/>
        </w:rPr>
        <w:t>Member States may provide that contracting authorities may not use price only or cost only as the sole award criterion or restrict their use to certain categories of contracting authorities or certain types of contracts.</w:t>
      </w:r>
      <w:r w:rsidRPr="00A00477">
        <w:rPr>
          <w:rFonts w:eastAsia="Times New Roman" w:cs="Times New Roman"/>
          <w:noProof/>
          <w:vanish/>
          <w:color w:val="800080"/>
          <w:sz w:val="24"/>
          <w:szCs w:val="24"/>
          <w:vertAlign w:val="subscript"/>
          <w:lang w:val="sr-Latn-CS"/>
        </w:rPr>
        <w:t>&lt;}85{&gt;</w:t>
      </w:r>
      <w:r w:rsidRPr="00A00477">
        <w:rPr>
          <w:rFonts w:eastAsia="Times New Roman" w:cs="Times New Roman"/>
          <w:noProof/>
          <w:sz w:val="24"/>
          <w:szCs w:val="24"/>
          <w:lang w:val="sr-Latn-CS"/>
        </w:rPr>
        <w:t xml:space="preserve">Државе чланице могу прописати да наручиоци не могу користити само цену или само трошкове као једини </w:t>
      </w:r>
      <w:r w:rsidR="00A00477">
        <w:rPr>
          <w:rFonts w:eastAsia="Times New Roman" w:cs="Times New Roman"/>
          <w:noProof/>
          <w:sz w:val="24"/>
          <w:szCs w:val="24"/>
          <w:lang w:val="sr-Cyrl-RS"/>
        </w:rPr>
        <w:t xml:space="preserve">елемент </w:t>
      </w:r>
      <w:r w:rsidRPr="00A00477">
        <w:rPr>
          <w:rFonts w:eastAsia="Times New Roman" w:cs="Times New Roman"/>
          <w:noProof/>
          <w:sz w:val="24"/>
          <w:szCs w:val="24"/>
          <w:lang w:val="sr-Latn-CS"/>
        </w:rPr>
        <w:t>критеријум</w:t>
      </w:r>
      <w:r w:rsidR="00A00477">
        <w:rPr>
          <w:rFonts w:eastAsia="Times New Roman" w:cs="Times New Roman"/>
          <w:noProof/>
          <w:sz w:val="24"/>
          <w:szCs w:val="24"/>
          <w:lang w:val="sr-Cyrl-RS"/>
        </w:rPr>
        <w:t>а</w:t>
      </w:r>
      <w:r w:rsidRPr="00A00477">
        <w:rPr>
          <w:rFonts w:eastAsia="Times New Roman" w:cs="Times New Roman"/>
          <w:noProof/>
          <w:sz w:val="24"/>
          <w:szCs w:val="24"/>
          <w:lang w:val="sr-Latn-CS"/>
        </w:rPr>
        <w:t xml:space="preserve"> за доделу уговора или могу ограничити њихову примену на одређене категорије наручилаца или одређене врсте уговора</w:t>
      </w:r>
      <w:r w:rsidR="00CD7E1F">
        <w:rPr>
          <w:rStyle w:val="FootnoteReference"/>
          <w:rFonts w:eastAsia="Times New Roman" w:cs="Times New Roman"/>
          <w:noProof/>
          <w:sz w:val="24"/>
          <w:szCs w:val="24"/>
          <w:lang w:val="sr-Latn-CS"/>
        </w:rPr>
        <w:footnoteReference w:id="30"/>
      </w:r>
      <w:r w:rsidRPr="00A00477">
        <w:rPr>
          <w:rFonts w:eastAsia="Times New Roman" w:cs="Times New Roman"/>
          <w:noProof/>
          <w:sz w:val="24"/>
          <w:szCs w:val="24"/>
          <w:lang w:val="sr-Latn-CS"/>
        </w:rPr>
        <w:t>.</w:t>
      </w:r>
      <w:r w:rsidRPr="00A00477">
        <w:rPr>
          <w:rFonts w:eastAsia="Times New Roman" w:cs="Times New Roman"/>
          <w:noProof/>
          <w:vanish/>
          <w:color w:val="800080"/>
          <w:sz w:val="24"/>
          <w:szCs w:val="24"/>
          <w:vertAlign w:val="subscript"/>
          <w:lang w:val="sr-Latn-CS"/>
        </w:rPr>
        <w:t>&lt;0}</w:t>
      </w:r>
      <w:r>
        <w:rPr>
          <w:sz w:val="24"/>
          <w:szCs w:val="24"/>
          <w:lang w:val="sr-Cyrl-RS"/>
        </w:rPr>
        <w:t xml:space="preserve"> Међутим, то не значи да наручиоци не могу да одреде само цену као елемент</w:t>
      </w:r>
      <w:r w:rsidR="00A00477">
        <w:rPr>
          <w:sz w:val="24"/>
          <w:szCs w:val="24"/>
          <w:lang w:val="sr-Cyrl-RS"/>
        </w:rPr>
        <w:t xml:space="preserve"> критеријума</w:t>
      </w:r>
      <w:r>
        <w:rPr>
          <w:sz w:val="24"/>
          <w:szCs w:val="24"/>
          <w:lang w:val="sr-Cyrl-RS"/>
        </w:rPr>
        <w:t>.</w:t>
      </w:r>
      <w:r w:rsidR="00A00477">
        <w:rPr>
          <w:sz w:val="24"/>
          <w:szCs w:val="24"/>
          <w:lang w:val="sr-Cyrl-RS"/>
        </w:rPr>
        <w:t xml:space="preserve"> ЗЈН прописује као критеријуме за избор најповољније понуда (за доделу уговора) најнижу понуђену цену и економски најповољнију понуду</w:t>
      </w:r>
      <w:r w:rsidR="00CD7E1F">
        <w:rPr>
          <w:rStyle w:val="FootnoteReference"/>
          <w:sz w:val="24"/>
          <w:szCs w:val="24"/>
          <w:lang w:val="sr-Cyrl-RS"/>
        </w:rPr>
        <w:footnoteReference w:id="31"/>
      </w:r>
      <w:r w:rsidR="00A00477">
        <w:rPr>
          <w:sz w:val="24"/>
          <w:szCs w:val="24"/>
          <w:lang w:val="sr-Cyrl-RS"/>
        </w:rPr>
        <w:t xml:space="preserve">. У  нашем систему више </w:t>
      </w:r>
      <w:r w:rsidR="006B009D">
        <w:rPr>
          <w:sz w:val="24"/>
          <w:szCs w:val="24"/>
          <w:lang w:val="sr-Cyrl-RS"/>
        </w:rPr>
        <w:t xml:space="preserve">се </w:t>
      </w:r>
      <w:r w:rsidR="00A00477">
        <w:rPr>
          <w:sz w:val="24"/>
          <w:szCs w:val="24"/>
          <w:lang w:val="sr-Cyrl-RS"/>
        </w:rPr>
        <w:t>користи кр</w:t>
      </w:r>
      <w:r w:rsidR="00C828A4">
        <w:rPr>
          <w:sz w:val="24"/>
          <w:szCs w:val="24"/>
          <w:lang w:val="sr-Cyrl-RS"/>
        </w:rPr>
        <w:t xml:space="preserve">итеријум најниже </w:t>
      </w:r>
      <w:r w:rsidR="00C828A4">
        <w:rPr>
          <w:sz w:val="24"/>
          <w:szCs w:val="24"/>
          <w:lang w:val="sr-Cyrl-RS"/>
        </w:rPr>
        <w:lastRenderedPageBreak/>
        <w:t>понуђена цена</w:t>
      </w:r>
      <w:r w:rsidR="00B040EE">
        <w:rPr>
          <w:sz w:val="24"/>
          <w:szCs w:val="24"/>
          <w:lang w:val="sr-Cyrl-RS"/>
        </w:rPr>
        <w:t xml:space="preserve"> - 81</w:t>
      </w:r>
      <w:r w:rsidR="003D6FE0">
        <w:rPr>
          <w:sz w:val="24"/>
          <w:szCs w:val="24"/>
          <w:lang w:val="sr-Cyrl-RS"/>
        </w:rPr>
        <w:t xml:space="preserve">%, </w:t>
      </w:r>
      <w:r w:rsidR="003D6FE0" w:rsidRPr="006B009D">
        <w:rPr>
          <w:sz w:val="24"/>
          <w:szCs w:val="24"/>
          <w:lang w:val="sr-Cyrl-RS"/>
        </w:rPr>
        <w:t xml:space="preserve">док се </w:t>
      </w:r>
      <w:r w:rsidR="00B040EE" w:rsidRPr="006B009D">
        <w:rPr>
          <w:sz w:val="24"/>
          <w:szCs w:val="24"/>
          <w:lang w:val="sr-Cyrl-RS"/>
        </w:rPr>
        <w:t xml:space="preserve">критеријум </w:t>
      </w:r>
      <w:r w:rsidR="003D6FE0" w:rsidRPr="006B009D">
        <w:rPr>
          <w:sz w:val="24"/>
          <w:szCs w:val="24"/>
          <w:lang w:val="sr-Cyrl-RS"/>
        </w:rPr>
        <w:t>економски нај</w:t>
      </w:r>
      <w:r w:rsidR="00B040EE" w:rsidRPr="006B009D">
        <w:rPr>
          <w:sz w:val="24"/>
          <w:szCs w:val="24"/>
          <w:lang w:val="sr-Cyrl-RS"/>
        </w:rPr>
        <w:t>повољнија понуда користио у 19</w:t>
      </w:r>
      <w:r w:rsidR="003D6FE0" w:rsidRPr="006B009D">
        <w:rPr>
          <w:sz w:val="24"/>
          <w:szCs w:val="24"/>
          <w:lang w:val="sr-Cyrl-RS"/>
        </w:rPr>
        <w:t>% случајева</w:t>
      </w:r>
      <w:r w:rsidR="003D6FE0" w:rsidRPr="006B009D">
        <w:rPr>
          <w:rStyle w:val="FootnoteReference"/>
          <w:sz w:val="24"/>
          <w:szCs w:val="24"/>
          <w:lang w:val="sr-Cyrl-RS"/>
        </w:rPr>
        <w:footnoteReference w:id="32"/>
      </w:r>
      <w:r w:rsidR="00C828A4" w:rsidRPr="006B009D">
        <w:rPr>
          <w:sz w:val="24"/>
          <w:szCs w:val="24"/>
          <w:lang w:val="sr-Cyrl-RS"/>
        </w:rPr>
        <w:t xml:space="preserve">. </w:t>
      </w:r>
    </w:p>
    <w:p w:rsidR="007272DF" w:rsidRDefault="007272DF" w:rsidP="00A00477">
      <w:pPr>
        <w:spacing w:after="0"/>
        <w:jc w:val="both"/>
        <w:rPr>
          <w:sz w:val="24"/>
          <w:szCs w:val="24"/>
          <w:lang w:val="sr-Cyrl-RS"/>
        </w:rPr>
      </w:pPr>
    </w:p>
    <w:p w:rsidR="003D6FE0" w:rsidRPr="003D6FE0" w:rsidRDefault="003D6FE0" w:rsidP="003D6FE0">
      <w:pPr>
        <w:spacing w:after="0"/>
        <w:ind w:firstLine="708"/>
        <w:jc w:val="both"/>
        <w:rPr>
          <w:b/>
          <w:sz w:val="24"/>
          <w:szCs w:val="24"/>
          <w:lang w:val="sr-Cyrl-RS"/>
        </w:rPr>
      </w:pPr>
      <w:r w:rsidRPr="003D6FE0">
        <w:rPr>
          <w:b/>
          <w:sz w:val="24"/>
          <w:szCs w:val="24"/>
          <w:lang w:val="sr-Cyrl-RS"/>
        </w:rPr>
        <w:t>2.6. Непотребна административна оптерећења</w:t>
      </w:r>
    </w:p>
    <w:p w:rsidR="003D6FE0" w:rsidRDefault="003D6FE0" w:rsidP="00A00477">
      <w:pPr>
        <w:spacing w:after="0"/>
        <w:jc w:val="both"/>
        <w:rPr>
          <w:color w:val="FF0000"/>
          <w:sz w:val="24"/>
          <w:szCs w:val="24"/>
          <w:lang w:val="sr-Cyrl-RS"/>
        </w:rPr>
      </w:pPr>
    </w:p>
    <w:p w:rsidR="001256E0" w:rsidRDefault="00A00477" w:rsidP="001256E0">
      <w:pPr>
        <w:spacing w:after="0"/>
        <w:ind w:firstLine="708"/>
        <w:jc w:val="both"/>
        <w:rPr>
          <w:sz w:val="24"/>
          <w:szCs w:val="24"/>
          <w:lang w:val="sr-Cyrl-RS"/>
        </w:rPr>
      </w:pPr>
      <w:r w:rsidRPr="00A00477">
        <w:rPr>
          <w:sz w:val="24"/>
          <w:szCs w:val="24"/>
          <w:lang w:val="sr-Cyrl-RS"/>
        </w:rPr>
        <w:t>Поред наведеног</w:t>
      </w:r>
      <w:r>
        <w:rPr>
          <w:sz w:val="24"/>
          <w:szCs w:val="24"/>
          <w:lang w:val="sr-Cyrl-RS"/>
        </w:rPr>
        <w:t xml:space="preserve">, одређена административна оптерећења </w:t>
      </w:r>
      <w:r w:rsidR="003D6FE0">
        <w:rPr>
          <w:sz w:val="24"/>
          <w:szCs w:val="24"/>
          <w:lang w:val="sr-Cyrl-RS"/>
        </w:rPr>
        <w:t>могу негативно утицати на М</w:t>
      </w:r>
      <w:r w:rsidR="007272DF">
        <w:rPr>
          <w:sz w:val="24"/>
          <w:szCs w:val="24"/>
          <w:lang w:val="sr-Cyrl-RS"/>
        </w:rPr>
        <w:t>МС</w:t>
      </w:r>
      <w:r w:rsidR="00051EFD">
        <w:rPr>
          <w:sz w:val="24"/>
          <w:szCs w:val="24"/>
          <w:lang w:val="sr-Cyrl-RS"/>
        </w:rPr>
        <w:t>П. Додуше, ЗЈН је у том смислу предвидео значајна олакшања</w:t>
      </w:r>
      <w:r w:rsidR="007272DF">
        <w:rPr>
          <w:sz w:val="24"/>
          <w:szCs w:val="24"/>
          <w:lang w:val="sr-Cyrl-RS"/>
        </w:rPr>
        <w:t>. Н</w:t>
      </w:r>
      <w:r w:rsidR="004C6C93">
        <w:rPr>
          <w:sz w:val="24"/>
          <w:szCs w:val="24"/>
          <w:lang w:val="sr-Cyrl-RS"/>
        </w:rPr>
        <w:t xml:space="preserve">аручиоци могу предвидети да се сви или одређени услови доказују изјавом датом под </w:t>
      </w:r>
      <w:r w:rsidR="007272DF">
        <w:rPr>
          <w:sz w:val="24"/>
          <w:szCs w:val="24"/>
          <w:lang w:val="sr-Cyrl-RS"/>
        </w:rPr>
        <w:t>пуном материјалном и кривичном</w:t>
      </w:r>
      <w:r w:rsidR="004C6C93">
        <w:rPr>
          <w:sz w:val="24"/>
          <w:szCs w:val="24"/>
          <w:lang w:val="sr-Cyrl-RS"/>
        </w:rPr>
        <w:t xml:space="preserve"> одговорношћу, осим услова из члана 75. став 1. тачка 5) ЗЈН (да понуђач има дозволу надлежног органа за обављање делатности)</w:t>
      </w:r>
      <w:r w:rsidR="003D6FE0">
        <w:rPr>
          <w:rStyle w:val="FootnoteReference"/>
          <w:sz w:val="24"/>
          <w:szCs w:val="24"/>
          <w:lang w:val="sr-Cyrl-RS"/>
        </w:rPr>
        <w:footnoteReference w:id="33"/>
      </w:r>
      <w:r w:rsidR="004C6C93">
        <w:rPr>
          <w:sz w:val="24"/>
          <w:szCs w:val="24"/>
          <w:lang w:val="sr-Cyrl-RS"/>
        </w:rPr>
        <w:t>.</w:t>
      </w:r>
      <w:r w:rsidR="00A36A34" w:rsidRPr="00A36A34">
        <w:t xml:space="preserve"> </w:t>
      </w:r>
      <w:r w:rsidR="00A36A34" w:rsidRPr="00A36A34">
        <w:rPr>
          <w:sz w:val="24"/>
          <w:szCs w:val="24"/>
          <w:lang w:val="sr-Cyrl-RS"/>
        </w:rPr>
        <w:t xml:space="preserve">Ако је понуђач доставио </w:t>
      </w:r>
      <w:r w:rsidR="00A36A34">
        <w:rPr>
          <w:sz w:val="24"/>
          <w:szCs w:val="24"/>
          <w:lang w:val="sr-Cyrl-RS"/>
        </w:rPr>
        <w:t xml:space="preserve">наведену </w:t>
      </w:r>
      <w:r w:rsidR="00A36A34" w:rsidRPr="00A36A34">
        <w:rPr>
          <w:sz w:val="24"/>
          <w:szCs w:val="24"/>
          <w:lang w:val="sr-Cyrl-RS"/>
        </w:rPr>
        <w:t>изјаву наручилац је пре д</w:t>
      </w:r>
      <w:r w:rsidR="00A36A34">
        <w:rPr>
          <w:sz w:val="24"/>
          <w:szCs w:val="24"/>
          <w:lang w:val="sr-Cyrl-RS"/>
        </w:rPr>
        <w:t xml:space="preserve">оношења одлуке о додели уговора </w:t>
      </w:r>
      <w:r w:rsidR="00A36A34" w:rsidRPr="00A36A34">
        <w:rPr>
          <w:sz w:val="24"/>
          <w:szCs w:val="24"/>
          <w:lang w:val="sr-Cyrl-RS"/>
        </w:rPr>
        <w:t>дужан да од понуђача чија је понуда оцењена као најповољнија затражи да достави копију захтеваних доказа о испуњености</w:t>
      </w:r>
      <w:r w:rsidR="00A36A34">
        <w:rPr>
          <w:sz w:val="24"/>
          <w:szCs w:val="24"/>
          <w:lang w:val="sr-Cyrl-RS"/>
        </w:rPr>
        <w:t xml:space="preserve"> </w:t>
      </w:r>
      <w:r w:rsidR="00A36A34" w:rsidRPr="00A36A34">
        <w:rPr>
          <w:sz w:val="24"/>
          <w:szCs w:val="24"/>
          <w:lang w:val="sr-Cyrl-RS"/>
        </w:rPr>
        <w:t>услова, а може и да затражи на увид оригинал или оверену копију свих или појединих доказа. Наручилац доказе може да затражи</w:t>
      </w:r>
      <w:r w:rsidR="00A36A34">
        <w:rPr>
          <w:sz w:val="24"/>
          <w:szCs w:val="24"/>
          <w:lang w:val="sr-Cyrl-RS"/>
        </w:rPr>
        <w:t xml:space="preserve"> </w:t>
      </w:r>
      <w:r w:rsidR="00A36A34" w:rsidRPr="00A36A34">
        <w:rPr>
          <w:sz w:val="24"/>
          <w:szCs w:val="24"/>
          <w:lang w:val="sr-Cyrl-RS"/>
        </w:rPr>
        <w:t>и од осталих понуђача. Наручилац није дужан да од понуђача затражи достављање свих или појединих доказа уколико за истог</w:t>
      </w:r>
      <w:r w:rsidR="00A36A34">
        <w:rPr>
          <w:sz w:val="24"/>
          <w:szCs w:val="24"/>
          <w:lang w:val="sr-Cyrl-RS"/>
        </w:rPr>
        <w:t xml:space="preserve"> </w:t>
      </w:r>
      <w:r w:rsidR="00A36A34" w:rsidRPr="00A36A34">
        <w:rPr>
          <w:sz w:val="24"/>
          <w:szCs w:val="24"/>
          <w:lang w:val="sr-Cyrl-RS"/>
        </w:rPr>
        <w:t>понуђача поседује одговарајуће доказе из других поступака ја</w:t>
      </w:r>
      <w:r w:rsidR="00A36A34">
        <w:rPr>
          <w:sz w:val="24"/>
          <w:szCs w:val="24"/>
          <w:lang w:val="sr-Cyrl-RS"/>
        </w:rPr>
        <w:t>вних набавки код тог наручиоца</w:t>
      </w:r>
      <w:r w:rsidR="00A36A34">
        <w:rPr>
          <w:rStyle w:val="FootnoteReference"/>
          <w:sz w:val="24"/>
          <w:szCs w:val="24"/>
          <w:lang w:val="sr-Cyrl-RS"/>
        </w:rPr>
        <w:footnoteReference w:id="34"/>
      </w:r>
      <w:r w:rsidR="00A36A34">
        <w:rPr>
          <w:sz w:val="24"/>
          <w:szCs w:val="24"/>
          <w:lang w:val="sr-Cyrl-RS"/>
        </w:rPr>
        <w:t xml:space="preserve">. </w:t>
      </w:r>
      <w:r w:rsidR="00A36A34" w:rsidRPr="00A36A34">
        <w:rPr>
          <w:sz w:val="24"/>
          <w:szCs w:val="24"/>
          <w:lang w:val="sr-Cyrl-RS"/>
        </w:rPr>
        <w:t xml:space="preserve">Наручилац није дужан да поступи на </w:t>
      </w:r>
      <w:r w:rsidR="00A36A34">
        <w:rPr>
          <w:sz w:val="24"/>
          <w:szCs w:val="24"/>
          <w:lang w:val="sr-Cyrl-RS"/>
        </w:rPr>
        <w:t xml:space="preserve">напред наведени </w:t>
      </w:r>
      <w:r w:rsidR="00A36A34" w:rsidRPr="00A36A34">
        <w:rPr>
          <w:sz w:val="24"/>
          <w:szCs w:val="24"/>
          <w:lang w:val="sr-Cyrl-RS"/>
        </w:rPr>
        <w:t>начин у случају поступк</w:t>
      </w:r>
      <w:r w:rsidR="00A36A34">
        <w:rPr>
          <w:sz w:val="24"/>
          <w:szCs w:val="24"/>
          <w:lang w:val="sr-Cyrl-RS"/>
        </w:rPr>
        <w:t xml:space="preserve">а јавне набавке мале вредности и </w:t>
      </w:r>
      <w:r w:rsidR="00A36A34" w:rsidRPr="00A36A34">
        <w:rPr>
          <w:sz w:val="24"/>
          <w:szCs w:val="24"/>
          <w:lang w:val="sr-Cyrl-RS"/>
        </w:rPr>
        <w:t>преговарачког поступка из члан</w:t>
      </w:r>
      <w:r w:rsidR="00A36A34">
        <w:rPr>
          <w:sz w:val="24"/>
          <w:szCs w:val="24"/>
          <w:lang w:val="sr-Cyrl-RS"/>
        </w:rPr>
        <w:t xml:space="preserve">а 36. став 1. тач. 2) и 3) ЗЈН </w:t>
      </w:r>
      <w:r w:rsidR="00A36A34" w:rsidRPr="00A36A34">
        <w:rPr>
          <w:sz w:val="24"/>
          <w:szCs w:val="24"/>
          <w:lang w:val="sr-Cyrl-RS"/>
        </w:rPr>
        <w:t>чија је процењена вредност мања од</w:t>
      </w:r>
      <w:r w:rsidR="00A36A34">
        <w:rPr>
          <w:sz w:val="24"/>
          <w:szCs w:val="24"/>
          <w:lang w:val="sr-Cyrl-RS"/>
        </w:rPr>
        <w:t xml:space="preserve"> 5.000.000 динара</w:t>
      </w:r>
      <w:r w:rsidR="00A36A34">
        <w:rPr>
          <w:rStyle w:val="FootnoteReference"/>
          <w:sz w:val="24"/>
          <w:szCs w:val="24"/>
          <w:lang w:val="sr-Cyrl-RS"/>
        </w:rPr>
        <w:footnoteReference w:id="35"/>
      </w:r>
      <w:r w:rsidR="00A36A34">
        <w:rPr>
          <w:sz w:val="24"/>
          <w:szCs w:val="24"/>
          <w:lang w:val="sr-Cyrl-RS"/>
        </w:rPr>
        <w:t>.</w:t>
      </w:r>
      <w:r w:rsidR="00E12A13">
        <w:rPr>
          <w:sz w:val="24"/>
          <w:szCs w:val="24"/>
          <w:lang w:val="sr-Cyrl-RS"/>
        </w:rPr>
        <w:t xml:space="preserve"> </w:t>
      </w:r>
      <w:r w:rsidR="004C6C93">
        <w:rPr>
          <w:sz w:val="24"/>
          <w:szCs w:val="24"/>
          <w:lang w:val="sr-Cyrl-RS"/>
        </w:rPr>
        <w:t xml:space="preserve"> </w:t>
      </w:r>
      <w:r w:rsidR="00E12A13">
        <w:rPr>
          <w:sz w:val="24"/>
          <w:szCs w:val="24"/>
          <w:lang w:val="sr-Cyrl-RS"/>
        </w:rPr>
        <w:t xml:space="preserve">Поред тога, </w:t>
      </w:r>
      <w:r w:rsidR="003D6FE0">
        <w:rPr>
          <w:sz w:val="24"/>
          <w:szCs w:val="24"/>
          <w:lang w:val="sr-Cyrl-RS"/>
        </w:rPr>
        <w:t>ЗЈ</w:t>
      </w:r>
      <w:r w:rsidR="006B009D">
        <w:rPr>
          <w:sz w:val="24"/>
          <w:szCs w:val="24"/>
          <w:lang w:val="sr-Cyrl-RS"/>
        </w:rPr>
        <w:t>Н је у циљу олакша</w:t>
      </w:r>
      <w:r w:rsidR="003D6FE0">
        <w:rPr>
          <w:sz w:val="24"/>
          <w:szCs w:val="24"/>
          <w:lang w:val="sr-Cyrl-RS"/>
        </w:rPr>
        <w:t xml:space="preserve">ња и мањег оптерећења понуђача предвидео успостављање Регистра понуђача који води </w:t>
      </w:r>
      <w:r w:rsidR="00EE4B06">
        <w:rPr>
          <w:sz w:val="24"/>
          <w:szCs w:val="24"/>
          <w:lang w:val="sr-Cyrl-RS"/>
        </w:rPr>
        <w:t>Агенција за привредне регистре</w:t>
      </w:r>
      <w:r w:rsidR="002A1F65">
        <w:rPr>
          <w:rStyle w:val="FootnoteReference"/>
          <w:sz w:val="24"/>
          <w:szCs w:val="24"/>
          <w:lang w:val="sr-Cyrl-RS"/>
        </w:rPr>
        <w:footnoteReference w:id="36"/>
      </w:r>
      <w:r w:rsidR="003D6FE0">
        <w:rPr>
          <w:sz w:val="24"/>
          <w:szCs w:val="24"/>
          <w:lang w:val="sr-Cyrl-RS"/>
        </w:rPr>
        <w:t>. Регистар понуђача је доступан на интернет страници А</w:t>
      </w:r>
      <w:r w:rsidR="004A36FE">
        <w:rPr>
          <w:sz w:val="24"/>
          <w:szCs w:val="24"/>
          <w:lang w:val="sr-Cyrl-RS"/>
        </w:rPr>
        <w:t>генције за привредне регистре</w:t>
      </w:r>
      <w:r w:rsidR="00646A3D">
        <w:rPr>
          <w:rStyle w:val="FootnoteReference"/>
          <w:sz w:val="24"/>
          <w:szCs w:val="24"/>
          <w:lang w:val="sr-Cyrl-RS"/>
        </w:rPr>
        <w:footnoteReference w:id="37"/>
      </w:r>
      <w:r w:rsidR="004A36FE">
        <w:rPr>
          <w:sz w:val="24"/>
          <w:szCs w:val="24"/>
          <w:lang w:val="sr-Cyrl-RS"/>
        </w:rPr>
        <w:t xml:space="preserve">. </w:t>
      </w:r>
      <w:r w:rsidR="0086552E">
        <w:rPr>
          <w:sz w:val="24"/>
          <w:szCs w:val="24"/>
          <w:lang w:val="sr-Cyrl-RS"/>
        </w:rPr>
        <w:t>Они понуђачи који су регистровани</w:t>
      </w:r>
      <w:r w:rsidR="00B0481E">
        <w:rPr>
          <w:sz w:val="24"/>
          <w:szCs w:val="24"/>
          <w:lang w:val="sr-Cyrl-RS"/>
        </w:rPr>
        <w:t xml:space="preserve"> у Регистру понуђача не морају </w:t>
      </w:r>
      <w:r w:rsidR="0086552E">
        <w:rPr>
          <w:sz w:val="24"/>
          <w:szCs w:val="24"/>
          <w:lang w:val="sr-Cyrl-RS"/>
        </w:rPr>
        <w:t xml:space="preserve"> да достављају доказе</w:t>
      </w:r>
      <w:r w:rsidR="00B0481E">
        <w:rPr>
          <w:sz w:val="24"/>
          <w:szCs w:val="24"/>
          <w:lang w:val="sr-Cyrl-RS"/>
        </w:rPr>
        <w:t xml:space="preserve"> прописане чланом 77. став 1. тач. 1) до 4) ЗЈН</w:t>
      </w:r>
      <w:r w:rsidR="0086552E">
        <w:rPr>
          <w:sz w:val="24"/>
          <w:szCs w:val="24"/>
          <w:lang w:val="sr-Cyrl-RS"/>
        </w:rPr>
        <w:t xml:space="preserve">, довољно је само да наведу да су регистровани у Регистру, односно да наведу интернет страницу на којој су подаци јавно доступни. У Регистар понуђача могу </w:t>
      </w:r>
      <w:r w:rsidR="006B009D">
        <w:rPr>
          <w:sz w:val="24"/>
          <w:szCs w:val="24"/>
          <w:lang w:val="sr-Cyrl-RS"/>
        </w:rPr>
        <w:t xml:space="preserve">се </w:t>
      </w:r>
      <w:r w:rsidR="0086552E">
        <w:rPr>
          <w:sz w:val="24"/>
          <w:szCs w:val="24"/>
          <w:lang w:val="sr-Cyrl-RS"/>
        </w:rPr>
        <w:t xml:space="preserve">регистровати сва лица која се иначе региструју код Агенције за привредне регистре подношењем докумената којима се доказује испуњеност обавезних услова </w:t>
      </w:r>
      <w:r w:rsidR="00B0481E">
        <w:rPr>
          <w:sz w:val="24"/>
          <w:szCs w:val="24"/>
          <w:lang w:val="sr-Cyrl-RS"/>
        </w:rPr>
        <w:t xml:space="preserve">прописаних 77. став 1. тач. 1) до 4) ЗЈН </w:t>
      </w:r>
      <w:r w:rsidR="0086552E">
        <w:rPr>
          <w:sz w:val="24"/>
          <w:szCs w:val="24"/>
          <w:lang w:val="sr-Cyrl-RS"/>
        </w:rPr>
        <w:t xml:space="preserve">(осим услова из члана 75. став 1. тачка 5) ЗЈН - да понуђач има дозволу надлежног органа за обављање делатности). Када се понуђачи региструју у Регистар, не морају више за сваки поступак у којем учествују да сакупљају потребне потврде да би доказали да испуњавају обавезне услове за учествовање. </w:t>
      </w:r>
      <w:r w:rsidR="00F21F04">
        <w:rPr>
          <w:sz w:val="24"/>
          <w:szCs w:val="24"/>
          <w:lang w:val="sr-Cyrl-RS"/>
        </w:rPr>
        <w:t>На тај начин се заиста максимално олакшало учешће понуђача, те самим тим и М</w:t>
      </w:r>
      <w:r w:rsidR="00A36A34">
        <w:rPr>
          <w:sz w:val="24"/>
          <w:szCs w:val="24"/>
          <w:lang w:val="sr-Cyrl-RS"/>
        </w:rPr>
        <w:t>М</w:t>
      </w:r>
      <w:r w:rsidR="00F21F04">
        <w:rPr>
          <w:sz w:val="24"/>
          <w:szCs w:val="24"/>
          <w:lang w:val="sr-Cyrl-RS"/>
        </w:rPr>
        <w:t xml:space="preserve">СП. О свим променама које настану у вези са статусом понуђача, организације и органи који су </w:t>
      </w:r>
      <w:r w:rsidR="00F21F04">
        <w:rPr>
          <w:sz w:val="24"/>
          <w:szCs w:val="24"/>
          <w:lang w:val="sr-Cyrl-RS"/>
        </w:rPr>
        <w:lastRenderedPageBreak/>
        <w:t>надлежни за изрицање санкција и мера које спречавају учешће лица у поступку јавне набавке обавештавају Агенцију за привредне регистре</w:t>
      </w:r>
      <w:r w:rsidR="00B0481E">
        <w:rPr>
          <w:sz w:val="24"/>
          <w:szCs w:val="24"/>
          <w:lang w:val="sr-Cyrl-RS"/>
        </w:rPr>
        <w:t xml:space="preserve">, односно </w:t>
      </w:r>
      <w:r w:rsidR="00F21F04">
        <w:rPr>
          <w:sz w:val="24"/>
          <w:szCs w:val="24"/>
          <w:lang w:val="sr-Cyrl-RS"/>
        </w:rPr>
        <w:t xml:space="preserve">аутоматски </w:t>
      </w:r>
      <w:r w:rsidR="00B0481E">
        <w:rPr>
          <w:sz w:val="24"/>
          <w:szCs w:val="24"/>
          <w:lang w:val="sr-Cyrl-RS"/>
        </w:rPr>
        <w:t xml:space="preserve">се </w:t>
      </w:r>
      <w:r w:rsidR="00F21F04">
        <w:rPr>
          <w:sz w:val="24"/>
          <w:szCs w:val="24"/>
          <w:lang w:val="sr-Cyrl-RS"/>
        </w:rPr>
        <w:t>вр</w:t>
      </w:r>
      <w:r w:rsidR="00B0481E">
        <w:rPr>
          <w:sz w:val="24"/>
          <w:szCs w:val="24"/>
          <w:lang w:val="sr-Cyrl-RS"/>
        </w:rPr>
        <w:t xml:space="preserve">ши ажурирање тих података. </w:t>
      </w:r>
      <w:r w:rsidR="00050047">
        <w:rPr>
          <w:sz w:val="24"/>
          <w:szCs w:val="24"/>
          <w:lang w:val="sr-Cyrl-RS"/>
        </w:rPr>
        <w:t>Регистар понуђача је показао да</w:t>
      </w:r>
      <w:r w:rsidR="00EE4B06">
        <w:rPr>
          <w:sz w:val="24"/>
          <w:szCs w:val="24"/>
          <w:lang w:val="sr-Cyrl-RS"/>
        </w:rPr>
        <w:t xml:space="preserve"> су</w:t>
      </w:r>
      <w:r w:rsidR="00050047">
        <w:rPr>
          <w:sz w:val="24"/>
          <w:szCs w:val="24"/>
          <w:lang w:val="sr-Cyrl-RS"/>
        </w:rPr>
        <w:t xml:space="preserve"> се административне поте</w:t>
      </w:r>
      <w:r w:rsidR="003D6FE0">
        <w:rPr>
          <w:sz w:val="24"/>
          <w:szCs w:val="24"/>
          <w:lang w:val="sr-Cyrl-RS"/>
        </w:rPr>
        <w:t>шкоће које су понуђачи, те и М</w:t>
      </w:r>
      <w:r w:rsidR="00A36A34">
        <w:rPr>
          <w:sz w:val="24"/>
          <w:szCs w:val="24"/>
          <w:lang w:val="sr-Cyrl-RS"/>
        </w:rPr>
        <w:t>МС</w:t>
      </w:r>
      <w:r w:rsidR="00050047">
        <w:rPr>
          <w:sz w:val="24"/>
          <w:szCs w:val="24"/>
          <w:lang w:val="sr-Cyrl-RS"/>
        </w:rPr>
        <w:t>П имали</w:t>
      </w:r>
      <w:r w:rsidR="00EE4B06">
        <w:rPr>
          <w:sz w:val="24"/>
          <w:szCs w:val="24"/>
          <w:lang w:val="sr-Cyrl-RS"/>
        </w:rPr>
        <w:t xml:space="preserve"> приликом прикупљања доказа свеле</w:t>
      </w:r>
      <w:r w:rsidR="00050047">
        <w:rPr>
          <w:sz w:val="24"/>
          <w:szCs w:val="24"/>
          <w:lang w:val="sr-Cyrl-RS"/>
        </w:rPr>
        <w:t xml:space="preserve"> на минимум, те се сада на једноставнији и јефтинији начин може учествовати у поступцима. </w:t>
      </w:r>
      <w:r w:rsidR="000640A5">
        <w:rPr>
          <w:sz w:val="24"/>
          <w:szCs w:val="24"/>
          <w:lang w:val="sr-Cyrl-RS"/>
        </w:rPr>
        <w:t>У државама чланицама ЕУ, м</w:t>
      </w:r>
      <w:r w:rsidR="000640A5" w:rsidRPr="000640A5">
        <w:rPr>
          <w:sz w:val="24"/>
          <w:szCs w:val="24"/>
          <w:lang w:val="sr-Cyrl-RS"/>
        </w:rPr>
        <w:t>ноги привредни субјекти, пре свега М</w:t>
      </w:r>
      <w:r w:rsidR="00A36A34">
        <w:rPr>
          <w:sz w:val="24"/>
          <w:szCs w:val="24"/>
          <w:lang w:val="sr-Cyrl-RS"/>
        </w:rPr>
        <w:t>М</w:t>
      </w:r>
      <w:r w:rsidR="000640A5" w:rsidRPr="000640A5">
        <w:rPr>
          <w:sz w:val="24"/>
          <w:szCs w:val="24"/>
          <w:lang w:val="sr-Cyrl-RS"/>
        </w:rPr>
        <w:t>С</w:t>
      </w:r>
      <w:r w:rsidR="003D6FE0">
        <w:rPr>
          <w:sz w:val="24"/>
          <w:szCs w:val="24"/>
          <w:lang w:val="sr-Cyrl-RS"/>
        </w:rPr>
        <w:t>П</w:t>
      </w:r>
      <w:r w:rsidR="000640A5" w:rsidRPr="000640A5">
        <w:rPr>
          <w:sz w:val="24"/>
          <w:szCs w:val="24"/>
          <w:lang w:val="sr-Cyrl-RS"/>
        </w:rPr>
        <w:t xml:space="preserve">, налазе да највећу препреку њиховом учешћу у јавним набавкама представљају административна оптерећења која произилазе из потребе да се </w:t>
      </w:r>
      <w:r w:rsidR="00E068F7">
        <w:rPr>
          <w:sz w:val="24"/>
          <w:szCs w:val="24"/>
          <w:lang w:val="sr-Cyrl-RS"/>
        </w:rPr>
        <w:t xml:space="preserve">достави </w:t>
      </w:r>
      <w:r w:rsidR="000640A5" w:rsidRPr="000640A5">
        <w:rPr>
          <w:sz w:val="24"/>
          <w:szCs w:val="24"/>
          <w:lang w:val="sr-Cyrl-RS"/>
        </w:rPr>
        <w:t>знатан број потврда или других докумената који се односе на</w:t>
      </w:r>
      <w:r w:rsidR="00EE4B06">
        <w:rPr>
          <w:sz w:val="24"/>
          <w:szCs w:val="24"/>
          <w:lang w:val="sr-Cyrl-RS"/>
        </w:rPr>
        <w:t xml:space="preserve"> </w:t>
      </w:r>
      <w:r w:rsidR="00E068F7">
        <w:rPr>
          <w:sz w:val="24"/>
          <w:szCs w:val="24"/>
          <w:lang w:val="sr-Cyrl-RS"/>
        </w:rPr>
        <w:t>учествовање у поступку</w:t>
      </w:r>
      <w:r w:rsidR="000640A5" w:rsidRPr="000640A5">
        <w:rPr>
          <w:sz w:val="24"/>
          <w:szCs w:val="24"/>
          <w:lang w:val="sr-Cyrl-RS"/>
        </w:rPr>
        <w:t xml:space="preserve">. </w:t>
      </w:r>
      <w:r w:rsidR="00E068F7">
        <w:rPr>
          <w:sz w:val="24"/>
          <w:szCs w:val="24"/>
          <w:lang w:val="sr-Cyrl-RS"/>
        </w:rPr>
        <w:t xml:space="preserve">Зато је Директива </w:t>
      </w:r>
      <w:r w:rsidR="00EE4B06">
        <w:rPr>
          <w:sz w:val="24"/>
          <w:szCs w:val="24"/>
          <w:lang w:val="sr-Cyrl-RS"/>
        </w:rPr>
        <w:t xml:space="preserve">2014/24/ЕУ </w:t>
      </w:r>
      <w:r w:rsidR="00E068F7">
        <w:rPr>
          <w:sz w:val="24"/>
          <w:szCs w:val="24"/>
          <w:lang w:val="sr-Cyrl-RS"/>
        </w:rPr>
        <w:t>предвидела о</w:t>
      </w:r>
      <w:r w:rsidR="000640A5" w:rsidRPr="000640A5">
        <w:rPr>
          <w:sz w:val="24"/>
          <w:szCs w:val="24"/>
          <w:lang w:val="sr-Cyrl-RS"/>
        </w:rPr>
        <w:t xml:space="preserve">граничавање таквих захтева, путем употребе Јединственог европског документа </w:t>
      </w:r>
      <w:r w:rsidR="00E068F7">
        <w:rPr>
          <w:sz w:val="24"/>
          <w:szCs w:val="24"/>
          <w:lang w:val="sr-Cyrl-RS"/>
        </w:rPr>
        <w:t xml:space="preserve">за набавку </w:t>
      </w:r>
      <w:r w:rsidR="000640A5" w:rsidRPr="000640A5">
        <w:rPr>
          <w:sz w:val="24"/>
          <w:szCs w:val="24"/>
          <w:lang w:val="sr-Cyrl-RS"/>
        </w:rPr>
        <w:t>(</w:t>
      </w:r>
      <w:r w:rsidR="00E522E3">
        <w:rPr>
          <w:sz w:val="24"/>
          <w:szCs w:val="24"/>
        </w:rPr>
        <w:t xml:space="preserve">European Single Procurement Document - </w:t>
      </w:r>
      <w:r w:rsidR="000640A5" w:rsidRPr="000640A5">
        <w:rPr>
          <w:sz w:val="24"/>
          <w:szCs w:val="24"/>
          <w:lang w:val="sr-Cyrl-RS"/>
        </w:rPr>
        <w:t>ESPD) који се састоји од ажуриране</w:t>
      </w:r>
      <w:r w:rsidR="00E068F7">
        <w:rPr>
          <w:sz w:val="24"/>
          <w:szCs w:val="24"/>
          <w:lang w:val="sr-Cyrl-RS"/>
        </w:rPr>
        <w:t xml:space="preserve"> изјаве</w:t>
      </w:r>
      <w:r w:rsidR="000640A5" w:rsidRPr="000640A5">
        <w:rPr>
          <w:sz w:val="24"/>
          <w:szCs w:val="24"/>
          <w:lang w:val="sr-Cyrl-RS"/>
        </w:rPr>
        <w:t xml:space="preserve">, </w:t>
      </w:r>
      <w:r w:rsidR="00E068F7">
        <w:rPr>
          <w:sz w:val="24"/>
          <w:szCs w:val="24"/>
          <w:lang w:val="sr-Cyrl-RS"/>
        </w:rPr>
        <w:t>те се на тај начин значајно поједностављ</w:t>
      </w:r>
      <w:r w:rsidR="000640A5" w:rsidRPr="000640A5">
        <w:rPr>
          <w:sz w:val="24"/>
          <w:szCs w:val="24"/>
          <w:lang w:val="sr-Cyrl-RS"/>
        </w:rPr>
        <w:t>у</w:t>
      </w:r>
      <w:r w:rsidR="00E068F7">
        <w:rPr>
          <w:sz w:val="24"/>
          <w:szCs w:val="24"/>
          <w:lang w:val="sr-Cyrl-RS"/>
        </w:rPr>
        <w:t>је процедура у</w:t>
      </w:r>
      <w:r w:rsidR="000640A5" w:rsidRPr="000640A5">
        <w:rPr>
          <w:sz w:val="24"/>
          <w:szCs w:val="24"/>
          <w:lang w:val="sr-Cyrl-RS"/>
        </w:rPr>
        <w:t xml:space="preserve"> корист и наручилаца и привредних субјеката.</w:t>
      </w:r>
      <w:r w:rsidR="00F5168F" w:rsidRPr="003A3FB2">
        <w:rPr>
          <w:sz w:val="24"/>
          <w:szCs w:val="24"/>
          <w:lang w:val="sr-Cyrl-RS"/>
        </w:rPr>
        <w:t xml:space="preserve"> </w:t>
      </w:r>
      <w:r w:rsidR="004952C5">
        <w:rPr>
          <w:sz w:val="24"/>
          <w:szCs w:val="24"/>
          <w:lang w:val="sr-Cyrl-RS"/>
        </w:rPr>
        <w:t>Понуђачи могу</w:t>
      </w:r>
      <w:r w:rsidR="00DE2878">
        <w:rPr>
          <w:sz w:val="24"/>
          <w:szCs w:val="24"/>
          <w:lang w:val="sr-Cyrl-RS"/>
        </w:rPr>
        <w:t xml:space="preserve"> у сваком поступку јавне набавке</w:t>
      </w:r>
      <w:r w:rsidR="004952C5">
        <w:rPr>
          <w:sz w:val="24"/>
          <w:szCs w:val="24"/>
          <w:lang w:val="sr-Cyrl-RS"/>
        </w:rPr>
        <w:t xml:space="preserve"> </w:t>
      </w:r>
      <w:r w:rsidR="00DE2878">
        <w:rPr>
          <w:sz w:val="24"/>
          <w:szCs w:val="24"/>
          <w:lang w:val="sr-Cyrl-RS"/>
        </w:rPr>
        <w:t>достави</w:t>
      </w:r>
      <w:r w:rsidR="004F5D54">
        <w:rPr>
          <w:sz w:val="24"/>
          <w:szCs w:val="24"/>
          <w:lang w:val="sr-Cyrl-RS"/>
        </w:rPr>
        <w:t>ти</w:t>
      </w:r>
      <w:r w:rsidR="00B0481E">
        <w:rPr>
          <w:sz w:val="24"/>
          <w:szCs w:val="24"/>
          <w:lang w:val="sr-Cyrl-RS"/>
        </w:rPr>
        <w:t xml:space="preserve"> ту изјаву као прелиминарни доказ</w:t>
      </w:r>
      <w:r w:rsidR="004952C5">
        <w:rPr>
          <w:sz w:val="24"/>
          <w:szCs w:val="24"/>
          <w:lang w:val="sr-Cyrl-RS"/>
        </w:rPr>
        <w:t>, односно не морају прилагати потврде и друге релевантне доказе</w:t>
      </w:r>
      <w:r w:rsidR="002A1F65">
        <w:rPr>
          <w:rStyle w:val="FootnoteReference"/>
          <w:sz w:val="24"/>
          <w:szCs w:val="24"/>
          <w:lang w:val="sr-Cyrl-RS"/>
        </w:rPr>
        <w:footnoteReference w:id="38"/>
      </w:r>
      <w:r w:rsidR="004952C5">
        <w:rPr>
          <w:sz w:val="24"/>
          <w:szCs w:val="24"/>
          <w:lang w:val="sr-Cyrl-RS"/>
        </w:rPr>
        <w:t xml:space="preserve">. </w:t>
      </w:r>
      <w:r w:rsidR="003A3FB2" w:rsidRPr="003A3FB2">
        <w:rPr>
          <w:sz w:val="24"/>
          <w:szCs w:val="24"/>
          <w:lang w:val="sr-Cyrl-RS"/>
        </w:rPr>
        <w:t>Наручиоци имају право да у сваком тренутку захтевају достављање целокупне документације или њеног дела уколико сматрају да је то неопходно за правилно спровођење поступка</w:t>
      </w:r>
      <w:r w:rsidR="003A3FB2">
        <w:rPr>
          <w:sz w:val="24"/>
          <w:szCs w:val="24"/>
          <w:lang w:val="sr-Cyrl-RS"/>
        </w:rPr>
        <w:t>. Документација се тражи само од понуђача којем ће бити додељен уговор</w:t>
      </w:r>
      <w:r w:rsidR="004952C5">
        <w:rPr>
          <w:sz w:val="24"/>
          <w:szCs w:val="24"/>
          <w:lang w:val="sr-Cyrl-RS"/>
        </w:rPr>
        <w:t>.</w:t>
      </w:r>
      <w:r w:rsidR="004952C5" w:rsidRPr="004952C5">
        <w:t xml:space="preserve"> </w:t>
      </w:r>
      <w:r w:rsidR="00ED6E1A">
        <w:rPr>
          <w:sz w:val="24"/>
          <w:szCs w:val="24"/>
          <w:lang w:val="sr-Cyrl-RS"/>
        </w:rPr>
        <w:t>Такође, Директива предвиђа да наручиоц</w:t>
      </w:r>
      <w:r w:rsidR="00941934">
        <w:rPr>
          <w:sz w:val="24"/>
          <w:szCs w:val="24"/>
          <w:lang w:val="sr-Cyrl-RS"/>
        </w:rPr>
        <w:t>и нису у обавези</w:t>
      </w:r>
      <w:r w:rsidR="004952C5" w:rsidRPr="004952C5">
        <w:rPr>
          <w:sz w:val="24"/>
          <w:szCs w:val="24"/>
          <w:lang w:val="sr-Cyrl-RS"/>
        </w:rPr>
        <w:t xml:space="preserve"> </w:t>
      </w:r>
      <w:r w:rsidR="00ED6E1A">
        <w:rPr>
          <w:sz w:val="24"/>
          <w:szCs w:val="24"/>
          <w:lang w:val="sr-Cyrl-RS"/>
        </w:rPr>
        <w:t xml:space="preserve">да захтевају </w:t>
      </w:r>
      <w:r w:rsidR="004952C5" w:rsidRPr="004952C5">
        <w:rPr>
          <w:sz w:val="24"/>
          <w:szCs w:val="24"/>
          <w:lang w:val="sr-Cyrl-RS"/>
        </w:rPr>
        <w:t>још ув</w:t>
      </w:r>
      <w:r w:rsidR="00EE4B06">
        <w:rPr>
          <w:sz w:val="24"/>
          <w:szCs w:val="24"/>
          <w:lang w:val="sr-Cyrl-RS"/>
        </w:rPr>
        <w:t>ек важеће</w:t>
      </w:r>
      <w:r w:rsidR="004952C5" w:rsidRPr="004952C5">
        <w:rPr>
          <w:sz w:val="24"/>
          <w:szCs w:val="24"/>
          <w:lang w:val="sr-Cyrl-RS"/>
        </w:rPr>
        <w:t xml:space="preserve"> документе које већ имају из претходних поступака набавке.</w:t>
      </w:r>
      <w:r w:rsidR="004952C5" w:rsidRPr="004952C5">
        <w:t xml:space="preserve"> </w:t>
      </w:r>
      <w:r w:rsidR="004F5D54" w:rsidRPr="004F5D54">
        <w:rPr>
          <w:sz w:val="24"/>
          <w:szCs w:val="24"/>
          <w:lang w:val="sr-Cyrl-RS"/>
        </w:rPr>
        <w:t>Поред тога,</w:t>
      </w:r>
      <w:r w:rsidR="004F5D54">
        <w:rPr>
          <w:lang w:val="sr-Cyrl-RS"/>
        </w:rPr>
        <w:t xml:space="preserve"> </w:t>
      </w:r>
      <w:r w:rsidR="00941934">
        <w:rPr>
          <w:sz w:val="24"/>
          <w:szCs w:val="24"/>
          <w:lang w:val="sr-Cyrl-RS"/>
        </w:rPr>
        <w:t>Европска К</w:t>
      </w:r>
      <w:r w:rsidR="004952C5" w:rsidRPr="004952C5">
        <w:rPr>
          <w:sz w:val="24"/>
          <w:szCs w:val="24"/>
          <w:lang w:val="sr-Cyrl-RS"/>
        </w:rPr>
        <w:t xml:space="preserve">омисија омогућава и администрира електронски систем e-Certis. </w:t>
      </w:r>
      <w:r w:rsidR="00052B11">
        <w:rPr>
          <w:sz w:val="24"/>
          <w:szCs w:val="24"/>
          <w:lang w:val="sr-Cyrl-RS"/>
        </w:rPr>
        <w:t>У питању је информациони систем који</w:t>
      </w:r>
      <w:r w:rsidR="001673D4">
        <w:rPr>
          <w:sz w:val="24"/>
          <w:szCs w:val="24"/>
          <w:lang w:val="sr-Cyrl-RS"/>
        </w:rPr>
        <w:t xml:space="preserve"> омогућава пронала</w:t>
      </w:r>
      <w:r w:rsidR="00052B11">
        <w:rPr>
          <w:sz w:val="24"/>
          <w:szCs w:val="24"/>
          <w:lang w:val="sr-Cyrl-RS"/>
        </w:rPr>
        <w:t>жење разних потврда и уверења који су често потребни у поступцима јавне набавке у 28 држава чланица ЕУ, Турској, Исланду, Лихтенштајну и Норвешкој.</w:t>
      </w:r>
      <w:r w:rsidR="004952C5" w:rsidRPr="004952C5">
        <w:rPr>
          <w:sz w:val="24"/>
          <w:szCs w:val="24"/>
          <w:lang w:val="sr-Cyrl-RS"/>
        </w:rPr>
        <w:t xml:space="preserve"> </w:t>
      </w:r>
      <w:r w:rsidR="001673D4">
        <w:rPr>
          <w:sz w:val="24"/>
          <w:szCs w:val="24"/>
          <w:lang w:val="sr-Cyrl-RS"/>
        </w:rPr>
        <w:t>У питању је си</w:t>
      </w:r>
      <w:r w:rsidR="004F5D54">
        <w:rPr>
          <w:sz w:val="24"/>
          <w:szCs w:val="24"/>
          <w:lang w:val="sr-Cyrl-RS"/>
        </w:rPr>
        <w:t>с</w:t>
      </w:r>
      <w:r w:rsidR="001673D4">
        <w:rPr>
          <w:sz w:val="24"/>
          <w:szCs w:val="24"/>
          <w:lang w:val="sr-Cyrl-RS"/>
        </w:rPr>
        <w:t>тем који омогућава наручиоцима и понуђачима да лакше сазнају које потврде и уверења су обично потребни у поступцима јавне набавке у појединим државама чланицама (и</w:t>
      </w:r>
      <w:r w:rsidR="001673D4" w:rsidRPr="001673D4">
        <w:rPr>
          <w:sz w:val="24"/>
          <w:szCs w:val="24"/>
          <w:lang w:val="sr-Cyrl-RS"/>
        </w:rPr>
        <w:t xml:space="preserve"> </w:t>
      </w:r>
      <w:r w:rsidR="001673D4">
        <w:rPr>
          <w:sz w:val="24"/>
          <w:szCs w:val="24"/>
          <w:lang w:val="sr-Cyrl-RS"/>
        </w:rPr>
        <w:t xml:space="preserve">у Турској, Исланду, Лихтенштајну и Норвешкој). </w:t>
      </w:r>
      <w:r w:rsidR="004F5D54">
        <w:rPr>
          <w:sz w:val="24"/>
          <w:szCs w:val="24"/>
          <w:lang w:val="sr-Cyrl-RS"/>
        </w:rPr>
        <w:t xml:space="preserve">Довољно је унети опис траженог документа или претражити базу података користећи </w:t>
      </w:r>
      <w:r w:rsidR="004F5D54" w:rsidRPr="004952C5">
        <w:rPr>
          <w:sz w:val="24"/>
          <w:szCs w:val="24"/>
          <w:lang w:val="sr-Cyrl-RS"/>
        </w:rPr>
        <w:t>e-Certis</w:t>
      </w:r>
      <w:r w:rsidR="004F5D54">
        <w:rPr>
          <w:sz w:val="24"/>
          <w:szCs w:val="24"/>
          <w:lang w:val="sr-Cyrl-RS"/>
        </w:rPr>
        <w:t xml:space="preserve"> критеријуме претраге, укључујући претраживање кључних речи. Информације у бази података пружају национална тела и редовно се ажурирају.</w:t>
      </w:r>
    </w:p>
    <w:p w:rsidR="001256E0" w:rsidRDefault="001256E0" w:rsidP="001256E0">
      <w:pPr>
        <w:spacing w:after="0"/>
        <w:ind w:firstLine="708"/>
        <w:jc w:val="both"/>
        <w:rPr>
          <w:b/>
          <w:sz w:val="24"/>
          <w:szCs w:val="24"/>
          <w:lang w:val="sr-Cyrl-RS"/>
        </w:rPr>
      </w:pPr>
    </w:p>
    <w:p w:rsidR="001256E0" w:rsidRDefault="002A1F65" w:rsidP="001256E0">
      <w:pPr>
        <w:spacing w:after="0"/>
        <w:ind w:firstLine="708"/>
        <w:jc w:val="both"/>
        <w:rPr>
          <w:sz w:val="24"/>
          <w:szCs w:val="24"/>
          <w:lang w:val="sr-Cyrl-RS"/>
        </w:rPr>
      </w:pPr>
      <w:r w:rsidRPr="002A1F65">
        <w:rPr>
          <w:b/>
          <w:sz w:val="24"/>
          <w:szCs w:val="24"/>
          <w:lang w:val="sr-Cyrl-RS"/>
        </w:rPr>
        <w:t xml:space="preserve">2.7. </w:t>
      </w:r>
      <w:r w:rsidR="00EF3F65">
        <w:rPr>
          <w:b/>
          <w:sz w:val="24"/>
          <w:szCs w:val="24"/>
          <w:lang w:val="sr-Cyrl-RS"/>
        </w:rPr>
        <w:t>Кашњење у плаћању или н</w:t>
      </w:r>
      <w:r w:rsidRPr="002A1F65">
        <w:rPr>
          <w:b/>
          <w:sz w:val="24"/>
          <w:szCs w:val="24"/>
          <w:lang w:val="sr-Cyrl-RS"/>
        </w:rPr>
        <w:t>еплаћање за извршени посао</w:t>
      </w:r>
    </w:p>
    <w:p w:rsidR="001256E0" w:rsidRDefault="001256E0" w:rsidP="001256E0">
      <w:pPr>
        <w:spacing w:after="0"/>
        <w:ind w:firstLine="708"/>
        <w:jc w:val="both"/>
        <w:rPr>
          <w:sz w:val="24"/>
          <w:szCs w:val="24"/>
          <w:lang w:val="sr-Cyrl-RS"/>
        </w:rPr>
      </w:pPr>
    </w:p>
    <w:p w:rsidR="001B2E18" w:rsidRPr="001B2E18" w:rsidRDefault="000A0DEC" w:rsidP="001256E0">
      <w:pPr>
        <w:spacing w:after="0"/>
        <w:ind w:firstLine="708"/>
        <w:jc w:val="both"/>
        <w:rPr>
          <w:sz w:val="24"/>
          <w:szCs w:val="24"/>
          <w:lang w:val="sr-Cyrl-RS"/>
        </w:rPr>
      </w:pPr>
      <w:r>
        <w:rPr>
          <w:sz w:val="24"/>
          <w:szCs w:val="24"/>
          <w:lang w:val="sr-Cyrl-RS"/>
        </w:rPr>
        <w:t xml:space="preserve">Неплаћање за извршени посао или само постојање сумње да до плаћања неће </w:t>
      </w:r>
      <w:r w:rsidR="002A1F65">
        <w:rPr>
          <w:sz w:val="24"/>
          <w:szCs w:val="24"/>
          <w:lang w:val="sr-Cyrl-RS"/>
        </w:rPr>
        <w:t>доћи, може такође утицати да М</w:t>
      </w:r>
      <w:r w:rsidR="00D975E2">
        <w:rPr>
          <w:sz w:val="24"/>
          <w:szCs w:val="24"/>
          <w:lang w:val="sr-Cyrl-RS"/>
        </w:rPr>
        <w:t>М</w:t>
      </w:r>
      <w:r w:rsidR="002A1F65">
        <w:rPr>
          <w:sz w:val="24"/>
          <w:szCs w:val="24"/>
          <w:lang w:val="sr-Cyrl-RS"/>
        </w:rPr>
        <w:t>СП</w:t>
      </w:r>
      <w:r>
        <w:rPr>
          <w:sz w:val="24"/>
          <w:szCs w:val="24"/>
          <w:lang w:val="sr-Cyrl-RS"/>
        </w:rPr>
        <w:t xml:space="preserve"> не учествују у поступку јавне набавке. </w:t>
      </w:r>
      <w:r w:rsidR="00AE6D0E">
        <w:rPr>
          <w:sz w:val="24"/>
          <w:szCs w:val="24"/>
          <w:lang w:val="sr-Cyrl-RS"/>
        </w:rPr>
        <w:t xml:space="preserve">Уколико нису плаћени на време или уопште не буду плаћени за уговерену испоруку добара, пружену услугу или изведене радове, </w:t>
      </w:r>
      <w:r w:rsidR="00CE48DE">
        <w:rPr>
          <w:sz w:val="24"/>
          <w:szCs w:val="24"/>
          <w:lang w:val="sr-Cyrl-RS"/>
        </w:rPr>
        <w:t xml:space="preserve">може доћи до стечаја </w:t>
      </w:r>
      <w:r w:rsidR="002A1F65">
        <w:rPr>
          <w:sz w:val="24"/>
          <w:szCs w:val="24"/>
          <w:lang w:val="sr-Cyrl-RS"/>
        </w:rPr>
        <w:t>М</w:t>
      </w:r>
      <w:r w:rsidR="002D7A74">
        <w:rPr>
          <w:sz w:val="24"/>
          <w:szCs w:val="24"/>
          <w:lang w:val="sr-Cyrl-RS"/>
        </w:rPr>
        <w:t>М</w:t>
      </w:r>
      <w:r w:rsidR="002A1F65">
        <w:rPr>
          <w:sz w:val="24"/>
          <w:szCs w:val="24"/>
          <w:lang w:val="sr-Cyrl-RS"/>
        </w:rPr>
        <w:t>СП</w:t>
      </w:r>
      <w:r w:rsidR="00AE6D0E">
        <w:rPr>
          <w:sz w:val="24"/>
          <w:szCs w:val="24"/>
          <w:lang w:val="sr-Cyrl-RS"/>
        </w:rPr>
        <w:t xml:space="preserve"> </w:t>
      </w:r>
      <w:r w:rsidR="00CE48DE">
        <w:rPr>
          <w:sz w:val="24"/>
          <w:szCs w:val="24"/>
          <w:lang w:val="sr-Cyrl-RS"/>
        </w:rPr>
        <w:t xml:space="preserve">или губитка радних места. </w:t>
      </w:r>
      <w:r w:rsidR="005124DF">
        <w:rPr>
          <w:sz w:val="24"/>
          <w:szCs w:val="24"/>
          <w:lang w:val="sr-Cyrl-RS"/>
        </w:rPr>
        <w:t>Зато је Законом о роковима измирења новчаних обавеза у комерцијалним тран</w:t>
      </w:r>
      <w:r w:rsidR="002D7A74">
        <w:rPr>
          <w:sz w:val="24"/>
          <w:szCs w:val="24"/>
          <w:lang w:val="sr-Cyrl-RS"/>
        </w:rPr>
        <w:t>сакцијама („Сл. гласник РС“ бр.</w:t>
      </w:r>
      <w:r w:rsidR="005124DF">
        <w:rPr>
          <w:sz w:val="24"/>
          <w:szCs w:val="24"/>
          <w:lang w:val="sr-Cyrl-RS"/>
        </w:rPr>
        <w:t xml:space="preserve"> 119/2012</w:t>
      </w:r>
      <w:r w:rsidR="002D7A74">
        <w:rPr>
          <w:sz w:val="24"/>
          <w:szCs w:val="24"/>
          <w:lang w:val="sr-Cyrl-RS"/>
        </w:rPr>
        <w:t xml:space="preserve"> и 68/2015</w:t>
      </w:r>
      <w:r w:rsidR="005124DF">
        <w:rPr>
          <w:sz w:val="24"/>
          <w:szCs w:val="24"/>
          <w:lang w:val="sr-Cyrl-RS"/>
        </w:rPr>
        <w:t xml:space="preserve">) предвиђено да се уговором између јавног сектора и привредних субјеката не може предвидети рок за измирење обавеза дужи од 45 дана, у случају када је у том уговорном односу јавни сектор </w:t>
      </w:r>
      <w:r w:rsidR="005124DF">
        <w:rPr>
          <w:sz w:val="24"/>
          <w:szCs w:val="24"/>
          <w:lang w:val="sr-Cyrl-RS"/>
        </w:rPr>
        <w:lastRenderedPageBreak/>
        <w:t>дужник</w:t>
      </w:r>
      <w:r w:rsidR="003715C3">
        <w:rPr>
          <w:rStyle w:val="FootnoteReference"/>
          <w:sz w:val="24"/>
          <w:szCs w:val="24"/>
          <w:lang w:val="sr-Cyrl-RS"/>
        </w:rPr>
        <w:footnoteReference w:id="39"/>
      </w:r>
      <w:r w:rsidR="005124DF">
        <w:rPr>
          <w:sz w:val="24"/>
          <w:szCs w:val="24"/>
          <w:lang w:val="sr-Cyrl-RS"/>
        </w:rPr>
        <w:t>.</w:t>
      </w:r>
      <w:r w:rsidR="005124DF" w:rsidRPr="005124DF">
        <w:t xml:space="preserve"> </w:t>
      </w:r>
      <w:r w:rsidR="005124DF">
        <w:rPr>
          <w:sz w:val="24"/>
          <w:szCs w:val="24"/>
          <w:lang w:val="sr-Cyrl-RS"/>
        </w:rPr>
        <w:t xml:space="preserve">Уговором између јавног сектора и </w:t>
      </w:r>
      <w:r w:rsidR="005124DF" w:rsidRPr="005124DF">
        <w:rPr>
          <w:sz w:val="24"/>
          <w:szCs w:val="24"/>
          <w:lang w:val="sr-Cyrl-RS"/>
        </w:rPr>
        <w:t>привредних субјеката може се предвидети р</w:t>
      </w:r>
      <w:r w:rsidR="005124DF">
        <w:rPr>
          <w:sz w:val="24"/>
          <w:szCs w:val="24"/>
          <w:lang w:val="sr-Cyrl-RS"/>
        </w:rPr>
        <w:t xml:space="preserve">ок за измирење новчаних обавеза </w:t>
      </w:r>
      <w:r w:rsidR="005124DF" w:rsidRPr="005124DF">
        <w:rPr>
          <w:sz w:val="24"/>
          <w:szCs w:val="24"/>
          <w:lang w:val="sr-Cyrl-RS"/>
        </w:rPr>
        <w:t>до 90 дана</w:t>
      </w:r>
      <w:r w:rsidR="006B009D">
        <w:rPr>
          <w:sz w:val="24"/>
          <w:szCs w:val="24"/>
          <w:lang w:val="sr-Cyrl-RS"/>
        </w:rPr>
        <w:t>,</w:t>
      </w:r>
      <w:r w:rsidR="005124DF" w:rsidRPr="005124DF">
        <w:rPr>
          <w:sz w:val="24"/>
          <w:szCs w:val="24"/>
          <w:lang w:val="sr-Cyrl-RS"/>
        </w:rPr>
        <w:t xml:space="preserve"> у случају када је дужник</w:t>
      </w:r>
      <w:r w:rsidR="005124DF">
        <w:rPr>
          <w:sz w:val="24"/>
          <w:szCs w:val="24"/>
          <w:lang w:val="sr-Cyrl-RS"/>
        </w:rPr>
        <w:t xml:space="preserve"> Републички фонд за здравствено </w:t>
      </w:r>
      <w:r w:rsidR="005124DF" w:rsidRPr="005124DF">
        <w:rPr>
          <w:sz w:val="24"/>
          <w:szCs w:val="24"/>
          <w:lang w:val="sr-Cyrl-RS"/>
        </w:rPr>
        <w:t>осигурање, односно корисник средстава Републичког фонда за здравствен</w:t>
      </w:r>
      <w:r w:rsidR="005124DF">
        <w:rPr>
          <w:sz w:val="24"/>
          <w:szCs w:val="24"/>
          <w:lang w:val="sr-Cyrl-RS"/>
        </w:rPr>
        <w:t xml:space="preserve">о </w:t>
      </w:r>
      <w:r w:rsidR="005124DF" w:rsidRPr="005124DF">
        <w:rPr>
          <w:sz w:val="24"/>
          <w:szCs w:val="24"/>
          <w:lang w:val="sr-Cyrl-RS"/>
        </w:rPr>
        <w:t>осигурање у смислу закона којим се уређује буџетски систем</w:t>
      </w:r>
      <w:r w:rsidR="003715C3">
        <w:rPr>
          <w:rStyle w:val="FootnoteReference"/>
          <w:sz w:val="24"/>
          <w:szCs w:val="24"/>
          <w:lang w:val="sr-Cyrl-RS"/>
        </w:rPr>
        <w:footnoteReference w:id="40"/>
      </w:r>
      <w:r w:rsidR="005124DF" w:rsidRPr="005124DF">
        <w:rPr>
          <w:sz w:val="24"/>
          <w:szCs w:val="24"/>
          <w:lang w:val="sr-Cyrl-RS"/>
        </w:rPr>
        <w:t>.</w:t>
      </w:r>
      <w:r w:rsidR="005124DF" w:rsidRPr="005124DF">
        <w:t xml:space="preserve"> </w:t>
      </w:r>
      <w:r w:rsidR="00042C16" w:rsidRPr="00042C16">
        <w:rPr>
          <w:sz w:val="24"/>
          <w:szCs w:val="24"/>
          <w:lang w:val="sr-Cyrl-RS"/>
        </w:rPr>
        <w:t xml:space="preserve">Накнада за кашњење </w:t>
      </w:r>
      <w:r w:rsidR="00042C16">
        <w:rPr>
          <w:sz w:val="24"/>
          <w:szCs w:val="24"/>
          <w:lang w:val="sr-Cyrl-RS"/>
        </w:rPr>
        <w:t>у испуњавању новчаних обавеза износи 20.000 динара, ако новчана обавеза није измирена у року</w:t>
      </w:r>
      <w:r w:rsidR="003715C3">
        <w:rPr>
          <w:rStyle w:val="FootnoteReference"/>
          <w:sz w:val="24"/>
          <w:szCs w:val="24"/>
          <w:lang w:val="sr-Cyrl-RS"/>
        </w:rPr>
        <w:footnoteReference w:id="41"/>
      </w:r>
      <w:r w:rsidR="00042C16">
        <w:rPr>
          <w:sz w:val="24"/>
          <w:szCs w:val="24"/>
          <w:lang w:val="sr-Cyrl-RS"/>
        </w:rPr>
        <w:t xml:space="preserve">. На неизмирене новчане обавезе плаћа се камата у висини </w:t>
      </w:r>
      <w:r w:rsidR="00A87810" w:rsidRPr="00A87810">
        <w:rPr>
          <w:sz w:val="24"/>
          <w:szCs w:val="24"/>
          <w:lang w:val="sr-Cyrl-RS"/>
        </w:rPr>
        <w:t>утврђеној законом к</w:t>
      </w:r>
      <w:r w:rsidR="00042C16">
        <w:rPr>
          <w:sz w:val="24"/>
          <w:szCs w:val="24"/>
          <w:lang w:val="sr-Cyrl-RS"/>
        </w:rPr>
        <w:t>ојим се уређује затезна камата</w:t>
      </w:r>
      <w:r w:rsidR="003715C3">
        <w:rPr>
          <w:rStyle w:val="FootnoteReference"/>
          <w:sz w:val="24"/>
          <w:szCs w:val="24"/>
          <w:lang w:val="sr-Cyrl-RS"/>
        </w:rPr>
        <w:footnoteReference w:id="42"/>
      </w:r>
      <w:r w:rsidR="00042C16">
        <w:rPr>
          <w:sz w:val="24"/>
          <w:szCs w:val="24"/>
          <w:lang w:val="sr-Cyrl-RS"/>
        </w:rPr>
        <w:t>.</w:t>
      </w:r>
      <w:r w:rsidR="00A87810" w:rsidRPr="00A87810">
        <w:rPr>
          <w:sz w:val="24"/>
          <w:szCs w:val="24"/>
          <w:lang w:val="sr-Cyrl-RS"/>
        </w:rPr>
        <w:t xml:space="preserve">Право на камату </w:t>
      </w:r>
      <w:r w:rsidR="00042C16">
        <w:rPr>
          <w:sz w:val="24"/>
          <w:szCs w:val="24"/>
          <w:lang w:val="sr-Cyrl-RS"/>
        </w:rPr>
        <w:t>има поверилац под условом да је испунио све уговорене обавезе</w:t>
      </w:r>
      <w:r w:rsidR="003715C3">
        <w:rPr>
          <w:rStyle w:val="FootnoteReference"/>
          <w:sz w:val="24"/>
          <w:szCs w:val="24"/>
          <w:lang w:val="sr-Cyrl-RS"/>
        </w:rPr>
        <w:footnoteReference w:id="43"/>
      </w:r>
      <w:r w:rsidR="00042C16">
        <w:rPr>
          <w:sz w:val="24"/>
          <w:szCs w:val="24"/>
          <w:lang w:val="sr-Cyrl-RS"/>
        </w:rPr>
        <w:t xml:space="preserve">. </w:t>
      </w:r>
      <w:r w:rsidR="00A87810" w:rsidRPr="00A87810">
        <w:rPr>
          <w:sz w:val="24"/>
          <w:szCs w:val="24"/>
          <w:lang w:val="sr-Cyrl-RS"/>
        </w:rPr>
        <w:t>Уколико је дужник делимично изм</w:t>
      </w:r>
      <w:r w:rsidR="00042C16">
        <w:rPr>
          <w:sz w:val="24"/>
          <w:szCs w:val="24"/>
          <w:lang w:val="sr-Cyrl-RS"/>
        </w:rPr>
        <w:t xml:space="preserve">ирио новчане обавезе у року, </w:t>
      </w:r>
      <w:r w:rsidR="00A87810" w:rsidRPr="00A87810">
        <w:rPr>
          <w:sz w:val="24"/>
          <w:szCs w:val="24"/>
          <w:lang w:val="sr-Cyrl-RS"/>
        </w:rPr>
        <w:t xml:space="preserve">камата </w:t>
      </w:r>
      <w:r w:rsidR="00042C16">
        <w:rPr>
          <w:sz w:val="24"/>
          <w:szCs w:val="24"/>
          <w:lang w:val="sr-Cyrl-RS"/>
        </w:rPr>
        <w:t xml:space="preserve">се </w:t>
      </w:r>
      <w:r w:rsidR="00A87810" w:rsidRPr="00A87810">
        <w:rPr>
          <w:sz w:val="24"/>
          <w:szCs w:val="24"/>
          <w:lang w:val="sr-Cyrl-RS"/>
        </w:rPr>
        <w:t>обрачунава и плаћа само на неизмирени део новчаних обавеза</w:t>
      </w:r>
      <w:r w:rsidR="003715C3">
        <w:rPr>
          <w:rStyle w:val="FootnoteReference"/>
          <w:sz w:val="24"/>
          <w:szCs w:val="24"/>
          <w:lang w:val="sr-Cyrl-RS"/>
        </w:rPr>
        <w:footnoteReference w:id="44"/>
      </w:r>
      <w:r w:rsidR="00A87810" w:rsidRPr="00A87810">
        <w:rPr>
          <w:sz w:val="24"/>
          <w:szCs w:val="24"/>
          <w:lang w:val="sr-Cyrl-RS"/>
        </w:rPr>
        <w:t>.</w:t>
      </w:r>
      <w:r w:rsidR="00042C16">
        <w:rPr>
          <w:sz w:val="24"/>
          <w:szCs w:val="24"/>
          <w:lang w:val="sr-Cyrl-RS"/>
        </w:rPr>
        <w:t xml:space="preserve"> Наведеним законом су предвиђене и прекршајне санкције, односно прописано је да ће се новчаном казном </w:t>
      </w:r>
      <w:r w:rsidR="00A87810" w:rsidRPr="00A87810">
        <w:rPr>
          <w:sz w:val="24"/>
          <w:szCs w:val="24"/>
          <w:lang w:val="sr-Cyrl-RS"/>
        </w:rPr>
        <w:t>од 100</w:t>
      </w:r>
      <w:r w:rsidR="001554A9">
        <w:rPr>
          <w:sz w:val="24"/>
          <w:szCs w:val="24"/>
          <w:lang w:val="sr-Cyrl-RS"/>
        </w:rPr>
        <w:t>.000 до 2.000.000 динара казнити</w:t>
      </w:r>
      <w:r w:rsidR="00A87810" w:rsidRPr="00A87810">
        <w:rPr>
          <w:sz w:val="24"/>
          <w:szCs w:val="24"/>
          <w:lang w:val="sr-Cyrl-RS"/>
        </w:rPr>
        <w:t xml:space="preserve"> </w:t>
      </w:r>
      <w:r w:rsidR="001554A9">
        <w:rPr>
          <w:sz w:val="24"/>
          <w:szCs w:val="24"/>
          <w:lang w:val="sr-Cyrl-RS"/>
        </w:rPr>
        <w:t xml:space="preserve">за прекршај </w:t>
      </w:r>
      <w:r w:rsidR="00A87810" w:rsidRPr="00A87810">
        <w:rPr>
          <w:sz w:val="24"/>
          <w:szCs w:val="24"/>
          <w:lang w:val="sr-Cyrl-RS"/>
        </w:rPr>
        <w:t xml:space="preserve">правно лице, односно привредни субјект или </w:t>
      </w:r>
      <w:r w:rsidR="001554A9">
        <w:rPr>
          <w:sz w:val="24"/>
          <w:szCs w:val="24"/>
          <w:lang w:val="sr-Cyrl-RS"/>
        </w:rPr>
        <w:t xml:space="preserve">субјект јавног сектора, који не </w:t>
      </w:r>
      <w:r w:rsidR="00A87810" w:rsidRPr="00A87810">
        <w:rPr>
          <w:sz w:val="24"/>
          <w:szCs w:val="24"/>
          <w:lang w:val="sr-Cyrl-RS"/>
        </w:rPr>
        <w:t>измири новчане обавезе у роковима утврђеним законом</w:t>
      </w:r>
      <w:r w:rsidR="003715C3">
        <w:rPr>
          <w:rStyle w:val="FootnoteReference"/>
          <w:sz w:val="24"/>
          <w:szCs w:val="24"/>
          <w:lang w:val="sr-Cyrl-RS"/>
        </w:rPr>
        <w:footnoteReference w:id="45"/>
      </w:r>
      <w:r w:rsidR="001554A9">
        <w:rPr>
          <w:sz w:val="24"/>
          <w:szCs w:val="24"/>
          <w:lang w:val="sr-Cyrl-RS"/>
        </w:rPr>
        <w:t>.</w:t>
      </w:r>
      <w:r w:rsidR="00A87810" w:rsidRPr="00A87810">
        <w:rPr>
          <w:sz w:val="24"/>
          <w:szCs w:val="24"/>
          <w:lang w:val="sr-Cyrl-RS"/>
        </w:rPr>
        <w:t xml:space="preserve"> Новчаном казном од 5.000 до 150.00</w:t>
      </w:r>
      <w:r w:rsidR="001554A9">
        <w:rPr>
          <w:sz w:val="24"/>
          <w:szCs w:val="24"/>
          <w:lang w:val="sr-Cyrl-RS"/>
        </w:rPr>
        <w:t xml:space="preserve">0 динара казниће се за прекршај </w:t>
      </w:r>
      <w:r w:rsidR="00A87810" w:rsidRPr="00A87810">
        <w:rPr>
          <w:sz w:val="24"/>
          <w:szCs w:val="24"/>
          <w:lang w:val="sr-Cyrl-RS"/>
        </w:rPr>
        <w:t>одговорно лице у јавном сектору, уколико субјек</w:t>
      </w:r>
      <w:r w:rsidR="001554A9">
        <w:rPr>
          <w:sz w:val="24"/>
          <w:szCs w:val="24"/>
          <w:lang w:val="sr-Cyrl-RS"/>
        </w:rPr>
        <w:t xml:space="preserve">т јавног сектора којим руководи </w:t>
      </w:r>
      <w:r w:rsidR="00A87810" w:rsidRPr="00A87810">
        <w:rPr>
          <w:sz w:val="24"/>
          <w:szCs w:val="24"/>
          <w:lang w:val="sr-Cyrl-RS"/>
        </w:rPr>
        <w:t xml:space="preserve">не измири новчане обавезе у роковима утврђеним </w:t>
      </w:r>
      <w:r w:rsidR="001554A9">
        <w:rPr>
          <w:sz w:val="24"/>
          <w:szCs w:val="24"/>
          <w:lang w:val="sr-Cyrl-RS"/>
        </w:rPr>
        <w:t>законом</w:t>
      </w:r>
      <w:r w:rsidR="003715C3">
        <w:rPr>
          <w:rStyle w:val="FootnoteReference"/>
          <w:sz w:val="24"/>
          <w:szCs w:val="24"/>
          <w:lang w:val="sr-Cyrl-RS"/>
        </w:rPr>
        <w:footnoteReference w:id="46"/>
      </w:r>
      <w:r w:rsidR="00A87810" w:rsidRPr="00A87810">
        <w:rPr>
          <w:sz w:val="24"/>
          <w:szCs w:val="24"/>
          <w:lang w:val="sr-Cyrl-RS"/>
        </w:rPr>
        <w:t>.</w:t>
      </w:r>
      <w:r w:rsidR="00973031">
        <w:rPr>
          <w:sz w:val="24"/>
          <w:szCs w:val="24"/>
          <w:lang w:val="sr-Cyrl-RS"/>
        </w:rPr>
        <w:t xml:space="preserve"> </w:t>
      </w:r>
      <w:r w:rsidR="001B2E18">
        <w:rPr>
          <w:sz w:val="24"/>
          <w:szCs w:val="24"/>
          <w:lang w:val="sr-Cyrl-RS"/>
        </w:rPr>
        <w:t>Надзор над применом овог закона између јавног сектора и привредних субјеката, у комерцијалним трансакцијама у којима су субјекти јавног сектора дужници, врши Министарство финансија-Одељење за буџетску инспекцију. Управа за трезор, трезор аутономне покрајине и трезори јединица локалне самоуправе, прикупљају податке о преузетим обавезама од субјеката јавног сектора и достављају извештаје са подацима о неизимиреним обавезама корисника јавних средстава Одељењу буџетске инспекције.</w:t>
      </w:r>
    </w:p>
    <w:p w:rsidR="005124DF" w:rsidRDefault="00A3500B" w:rsidP="001B2E18">
      <w:pPr>
        <w:autoSpaceDE w:val="0"/>
        <w:autoSpaceDN w:val="0"/>
        <w:adjustRightInd w:val="0"/>
        <w:spacing w:after="0" w:line="240" w:lineRule="auto"/>
        <w:ind w:firstLine="708"/>
        <w:jc w:val="both"/>
        <w:rPr>
          <w:sz w:val="24"/>
          <w:szCs w:val="24"/>
          <w:lang w:val="sr-Cyrl-RS"/>
        </w:rPr>
      </w:pPr>
      <w:r>
        <w:rPr>
          <w:sz w:val="24"/>
          <w:szCs w:val="24"/>
          <w:lang w:val="sr-Cyrl-RS"/>
        </w:rPr>
        <w:t>Да би заштитила пословање, а нарочито мала и средња предузећа ЕУ је 2011. донела нову Директиву</w:t>
      </w:r>
      <w:r w:rsidR="00467BF1">
        <w:rPr>
          <w:rStyle w:val="FootnoteReference"/>
          <w:sz w:val="24"/>
          <w:szCs w:val="24"/>
          <w:lang w:val="sr-Cyrl-RS"/>
        </w:rPr>
        <w:footnoteReference w:id="47"/>
      </w:r>
      <w:r w:rsidR="00EE4B06">
        <w:rPr>
          <w:sz w:val="24"/>
          <w:szCs w:val="24"/>
          <w:lang w:val="sr-Cyrl-RS"/>
        </w:rPr>
        <w:t xml:space="preserve"> у циљу </w:t>
      </w:r>
      <w:r w:rsidR="00A43461">
        <w:rPr>
          <w:sz w:val="24"/>
          <w:szCs w:val="24"/>
          <w:lang w:val="sr-Cyrl-RS"/>
        </w:rPr>
        <w:t xml:space="preserve">спречавања </w:t>
      </w:r>
      <w:r w:rsidR="00EE4B06">
        <w:rPr>
          <w:sz w:val="24"/>
          <w:szCs w:val="24"/>
          <w:lang w:val="sr-Cyrl-RS"/>
        </w:rPr>
        <w:t>кашњења у плаћању</w:t>
      </w:r>
      <w:r>
        <w:rPr>
          <w:sz w:val="24"/>
          <w:szCs w:val="24"/>
          <w:lang w:val="sr-Cyrl-RS"/>
        </w:rPr>
        <w:t xml:space="preserve"> </w:t>
      </w:r>
      <w:r w:rsidR="00E84F7F">
        <w:rPr>
          <w:sz w:val="24"/>
          <w:szCs w:val="24"/>
          <w:lang w:val="sr-Cyrl-RS"/>
        </w:rPr>
        <w:t>која је предвидела стриктније мере него претходна Директива 200</w:t>
      </w:r>
      <w:r w:rsidR="002D7A74">
        <w:rPr>
          <w:sz w:val="24"/>
          <w:szCs w:val="24"/>
          <w:lang w:val="sr-Cyrl-RS"/>
        </w:rPr>
        <w:t>0</w:t>
      </w:r>
      <w:r w:rsidR="00E84F7F">
        <w:rPr>
          <w:sz w:val="24"/>
          <w:szCs w:val="24"/>
          <w:lang w:val="sr-Cyrl-RS"/>
        </w:rPr>
        <w:t>/35/ЕЦ.</w:t>
      </w:r>
      <w:r w:rsidR="00CA770D">
        <w:rPr>
          <w:sz w:val="24"/>
          <w:szCs w:val="24"/>
          <w:lang w:val="sr-Cyrl-RS"/>
        </w:rPr>
        <w:t xml:space="preserve"> Она је и саставни део </w:t>
      </w:r>
      <w:r w:rsidR="00CA770D">
        <w:rPr>
          <w:sz w:val="24"/>
          <w:szCs w:val="24"/>
        </w:rPr>
        <w:t>„Small Business Act“-a.</w:t>
      </w:r>
      <w:r w:rsidR="00E84F7F">
        <w:rPr>
          <w:sz w:val="24"/>
          <w:szCs w:val="24"/>
          <w:lang w:val="sr-Cyrl-RS"/>
        </w:rPr>
        <w:t xml:space="preserve"> </w:t>
      </w:r>
      <w:r w:rsidR="00973031">
        <w:rPr>
          <w:sz w:val="24"/>
          <w:szCs w:val="24"/>
          <w:lang w:val="sr-Cyrl-RS"/>
        </w:rPr>
        <w:t xml:space="preserve">Директивом 2011/7/ЕУ као рок плаћања јавног сектора према привредним субјектима износи 30 дана, а само изузетно тај рок може бити 60 дана. </w:t>
      </w:r>
      <w:r w:rsidR="004F3DF2">
        <w:rPr>
          <w:sz w:val="24"/>
          <w:szCs w:val="24"/>
          <w:lang w:val="sr-Cyrl-RS"/>
        </w:rPr>
        <w:t>ЕУ је кренула у кампању против кашњења у плаћању</w:t>
      </w:r>
      <w:r w:rsidR="00467BF1">
        <w:rPr>
          <w:rStyle w:val="FootnoteReference"/>
          <w:sz w:val="24"/>
          <w:szCs w:val="24"/>
          <w:lang w:val="sr-Cyrl-RS"/>
        </w:rPr>
        <w:footnoteReference w:id="48"/>
      </w:r>
      <w:r w:rsidR="00F3123F">
        <w:rPr>
          <w:sz w:val="24"/>
          <w:szCs w:val="24"/>
          <w:lang w:val="sr-Cyrl-RS"/>
        </w:rPr>
        <w:t xml:space="preserve"> како би се заштитала радна места, </w:t>
      </w:r>
      <w:r w:rsidR="00906A32">
        <w:rPr>
          <w:sz w:val="24"/>
          <w:szCs w:val="24"/>
          <w:lang w:val="sr-Cyrl-RS"/>
        </w:rPr>
        <w:t>промовисао раст и спречио стечај М</w:t>
      </w:r>
      <w:r w:rsidR="002D7A74">
        <w:rPr>
          <w:sz w:val="24"/>
          <w:szCs w:val="24"/>
          <w:lang w:val="sr-Cyrl-RS"/>
        </w:rPr>
        <w:t>МС</w:t>
      </w:r>
      <w:r w:rsidR="00906A32">
        <w:rPr>
          <w:sz w:val="24"/>
          <w:szCs w:val="24"/>
          <w:lang w:val="sr-Cyrl-RS"/>
        </w:rPr>
        <w:t>П</w:t>
      </w:r>
      <w:r w:rsidR="00467BF1">
        <w:rPr>
          <w:sz w:val="24"/>
          <w:szCs w:val="24"/>
          <w:lang w:val="sr-Cyrl-RS"/>
        </w:rPr>
        <w:t>.</w:t>
      </w:r>
      <w:r w:rsidR="00906A32">
        <w:rPr>
          <w:sz w:val="24"/>
          <w:szCs w:val="24"/>
          <w:lang w:val="sr-Cyrl-RS"/>
        </w:rPr>
        <w:t xml:space="preserve"> Утврђено је да кашњење у плаћању или</w:t>
      </w:r>
      <w:r w:rsidR="00467BF1">
        <w:rPr>
          <w:sz w:val="24"/>
          <w:szCs w:val="24"/>
          <w:lang w:val="sr-Cyrl-RS"/>
        </w:rPr>
        <w:t xml:space="preserve"> </w:t>
      </w:r>
      <w:r w:rsidR="00906A32">
        <w:rPr>
          <w:sz w:val="24"/>
          <w:szCs w:val="24"/>
          <w:lang w:val="sr-Cyrl-RS"/>
        </w:rPr>
        <w:t xml:space="preserve">неплаћање уопште представља главну препреку слободног кретања робе и услуга на јединственом европском </w:t>
      </w:r>
      <w:r w:rsidR="00960003">
        <w:rPr>
          <w:sz w:val="24"/>
          <w:szCs w:val="24"/>
          <w:lang w:val="sr-Cyrl-RS"/>
        </w:rPr>
        <w:t>тржишту и може значајно утицати на</w:t>
      </w:r>
      <w:r w:rsidR="00906A32">
        <w:rPr>
          <w:sz w:val="24"/>
          <w:szCs w:val="24"/>
          <w:lang w:val="sr-Cyrl-RS"/>
        </w:rPr>
        <w:t xml:space="preserve"> конкуренцију. </w:t>
      </w:r>
    </w:p>
    <w:p w:rsidR="00E879DE" w:rsidRPr="002D2EE0" w:rsidRDefault="00E879DE" w:rsidP="00E879DE">
      <w:pPr>
        <w:spacing w:after="0"/>
        <w:jc w:val="both"/>
        <w:rPr>
          <w:sz w:val="24"/>
          <w:szCs w:val="24"/>
        </w:rPr>
        <w:sectPr w:rsidR="00E879DE" w:rsidRPr="002D2EE0">
          <w:footerReference w:type="default" r:id="rId13"/>
          <w:pgSz w:w="11906" w:h="16838"/>
          <w:pgMar w:top="1417" w:right="1417" w:bottom="1417" w:left="1417" w:header="708" w:footer="708" w:gutter="0"/>
          <w:cols w:space="708"/>
          <w:docGrid w:linePitch="360"/>
        </w:sectPr>
      </w:pPr>
    </w:p>
    <w:p w:rsidR="001F3E6B" w:rsidRPr="002D2EE0" w:rsidRDefault="001F3E6B" w:rsidP="00E879DE">
      <w:pPr>
        <w:spacing w:after="0"/>
        <w:jc w:val="both"/>
        <w:rPr>
          <w:sz w:val="24"/>
          <w:szCs w:val="24"/>
        </w:rPr>
      </w:pPr>
    </w:p>
    <w:tbl>
      <w:tblPr>
        <w:tblStyle w:val="TableGrid"/>
        <w:tblW w:w="14425"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644"/>
        <w:gridCol w:w="9781"/>
      </w:tblGrid>
      <w:tr w:rsidR="00E879DE" w:rsidRPr="00D91B33" w:rsidTr="007272DF">
        <w:tc>
          <w:tcPr>
            <w:tcW w:w="4644" w:type="dxa"/>
            <w:tcBorders>
              <w:top w:val="thinThickSmallGap" w:sz="24" w:space="0" w:color="auto"/>
              <w:bottom w:val="nil"/>
            </w:tcBorders>
            <w:shd w:val="clear" w:color="auto" w:fill="C0504D" w:themeFill="accent2"/>
          </w:tcPr>
          <w:p w:rsidR="00E879DE" w:rsidRPr="00D91B33" w:rsidRDefault="00E879DE" w:rsidP="007272DF">
            <w:pPr>
              <w:autoSpaceDE w:val="0"/>
              <w:autoSpaceDN w:val="0"/>
              <w:adjustRightInd w:val="0"/>
              <w:jc w:val="center"/>
              <w:rPr>
                <w:lang w:val="sr-Cyrl-RS"/>
              </w:rPr>
            </w:pPr>
          </w:p>
          <w:p w:rsidR="00E879DE" w:rsidRPr="00D91B33" w:rsidRDefault="00E879DE" w:rsidP="007272DF">
            <w:pPr>
              <w:autoSpaceDE w:val="0"/>
              <w:autoSpaceDN w:val="0"/>
              <w:adjustRightInd w:val="0"/>
              <w:jc w:val="center"/>
              <w:rPr>
                <w:lang w:val="sr-Cyrl-RS"/>
              </w:rPr>
            </w:pPr>
            <w:r w:rsidRPr="00D91B33">
              <w:rPr>
                <w:lang w:val="sr-Cyrl-RS"/>
              </w:rPr>
              <w:t>Тешкоће и проблеми</w:t>
            </w:r>
          </w:p>
          <w:p w:rsidR="00E879DE" w:rsidRPr="00D91B33" w:rsidRDefault="00E879DE" w:rsidP="007272DF">
            <w:pPr>
              <w:autoSpaceDE w:val="0"/>
              <w:autoSpaceDN w:val="0"/>
              <w:adjustRightInd w:val="0"/>
              <w:jc w:val="center"/>
              <w:rPr>
                <w:lang w:val="sr-Cyrl-RS"/>
              </w:rPr>
            </w:pPr>
          </w:p>
        </w:tc>
        <w:tc>
          <w:tcPr>
            <w:tcW w:w="9781" w:type="dxa"/>
            <w:tcBorders>
              <w:top w:val="thinThickSmallGap" w:sz="24" w:space="0" w:color="auto"/>
              <w:bottom w:val="nil"/>
            </w:tcBorders>
            <w:shd w:val="clear" w:color="auto" w:fill="C0504D" w:themeFill="accent2"/>
          </w:tcPr>
          <w:p w:rsidR="00E879DE" w:rsidRPr="00D91B33" w:rsidRDefault="00E879DE" w:rsidP="007272DF">
            <w:pPr>
              <w:autoSpaceDE w:val="0"/>
              <w:autoSpaceDN w:val="0"/>
              <w:adjustRightInd w:val="0"/>
              <w:jc w:val="center"/>
              <w:rPr>
                <w:lang w:val="sr-Cyrl-RS"/>
              </w:rPr>
            </w:pPr>
          </w:p>
          <w:p w:rsidR="00E879DE" w:rsidRPr="00D91B33" w:rsidRDefault="00E879DE" w:rsidP="007272DF">
            <w:pPr>
              <w:autoSpaceDE w:val="0"/>
              <w:autoSpaceDN w:val="0"/>
              <w:adjustRightInd w:val="0"/>
              <w:jc w:val="center"/>
              <w:rPr>
                <w:lang w:val="sr-Cyrl-RS"/>
              </w:rPr>
            </w:pPr>
            <w:r w:rsidRPr="00D91B33">
              <w:rPr>
                <w:lang w:val="sr-Cyrl-RS"/>
              </w:rPr>
              <w:t>Могућност превазилажења</w:t>
            </w:r>
          </w:p>
        </w:tc>
      </w:tr>
      <w:tr w:rsidR="00E879DE" w:rsidRPr="00D91B33" w:rsidTr="007272DF">
        <w:tc>
          <w:tcPr>
            <w:tcW w:w="4644" w:type="dxa"/>
            <w:tcBorders>
              <w:top w:val="nil"/>
              <w:bottom w:val="nil"/>
            </w:tcBorders>
            <w:shd w:val="clear" w:color="auto" w:fill="D99594" w:themeFill="accent2" w:themeFillTint="99"/>
          </w:tcPr>
          <w:p w:rsidR="00E879DE" w:rsidRPr="00D91B33" w:rsidRDefault="00E879DE" w:rsidP="007272DF">
            <w:pPr>
              <w:autoSpaceDE w:val="0"/>
              <w:autoSpaceDN w:val="0"/>
              <w:adjustRightInd w:val="0"/>
              <w:jc w:val="both"/>
              <w:rPr>
                <w:lang w:val="sr-Cyrl-RS"/>
              </w:rPr>
            </w:pPr>
            <w:r w:rsidRPr="00D91B33">
              <w:rPr>
                <w:lang w:val="sr-Cyrl-RS"/>
              </w:rPr>
              <w:t>Уговори велике вредности, немогућност испуњења додатних услова, привремено затварање тржишта кроз „оквирне споразуме“</w:t>
            </w:r>
          </w:p>
        </w:tc>
        <w:tc>
          <w:tcPr>
            <w:tcW w:w="9781" w:type="dxa"/>
            <w:tcBorders>
              <w:top w:val="nil"/>
              <w:bottom w:val="nil"/>
            </w:tcBorders>
            <w:shd w:val="clear" w:color="auto" w:fill="D99594" w:themeFill="accent2" w:themeFillTint="99"/>
          </w:tcPr>
          <w:p w:rsidR="00E879DE" w:rsidRPr="00D91B33" w:rsidRDefault="00E879DE" w:rsidP="007272DF">
            <w:pPr>
              <w:pStyle w:val="ListParagraph"/>
              <w:numPr>
                <w:ilvl w:val="0"/>
                <w:numId w:val="1"/>
              </w:numPr>
              <w:autoSpaceDE w:val="0"/>
              <w:autoSpaceDN w:val="0"/>
              <w:adjustRightInd w:val="0"/>
              <w:rPr>
                <w:lang w:val="sr-Cyrl-RS"/>
              </w:rPr>
            </w:pPr>
            <w:r w:rsidRPr="00D91B33">
              <w:rPr>
                <w:lang w:val="sr-Cyrl-RS"/>
              </w:rPr>
              <w:t>подела предмета набавке по партијама у кванти</w:t>
            </w:r>
            <w:r w:rsidR="003D43F2">
              <w:rPr>
                <w:lang w:val="sr-Cyrl-RS"/>
              </w:rPr>
              <w:t>тативном и квалитативном смислу</w:t>
            </w:r>
          </w:p>
          <w:p w:rsidR="00E879DE" w:rsidRPr="00D91B33" w:rsidRDefault="00E879DE" w:rsidP="007272DF">
            <w:pPr>
              <w:pStyle w:val="ListParagraph"/>
              <w:numPr>
                <w:ilvl w:val="0"/>
                <w:numId w:val="1"/>
              </w:numPr>
              <w:autoSpaceDE w:val="0"/>
              <w:autoSpaceDN w:val="0"/>
              <w:adjustRightInd w:val="0"/>
              <w:rPr>
                <w:lang w:val="sr-Cyrl-RS"/>
              </w:rPr>
            </w:pPr>
            <w:r w:rsidRPr="00D91B33">
              <w:rPr>
                <w:lang w:val="sr-Cyrl-RS"/>
              </w:rPr>
              <w:t>одређивање додатних услова у сразмери са предметом набавке, нарочито ограничавајући финансијски капацитет на највише двоструку вредност процењене вредности уговора</w:t>
            </w:r>
          </w:p>
          <w:p w:rsidR="00E879DE" w:rsidRPr="00D91B33" w:rsidRDefault="00E879DE" w:rsidP="007272DF">
            <w:pPr>
              <w:pStyle w:val="ListParagraph"/>
              <w:numPr>
                <w:ilvl w:val="0"/>
                <w:numId w:val="1"/>
              </w:numPr>
              <w:autoSpaceDE w:val="0"/>
              <w:autoSpaceDN w:val="0"/>
              <w:adjustRightInd w:val="0"/>
              <w:rPr>
                <w:lang w:val="sr-Cyrl-RS"/>
              </w:rPr>
            </w:pPr>
            <w:r w:rsidRPr="00D91B33">
              <w:rPr>
                <w:lang w:val="sr-Cyrl-RS"/>
              </w:rPr>
              <w:t xml:space="preserve">учествовање </w:t>
            </w:r>
            <w:r w:rsidR="006B009D">
              <w:rPr>
                <w:lang w:val="sr-Cyrl-RS"/>
              </w:rPr>
              <w:t>ММСП у заједничкој</w:t>
            </w:r>
            <w:r w:rsidRPr="00D91B33">
              <w:rPr>
                <w:lang w:val="sr-Cyrl-RS"/>
              </w:rPr>
              <w:t xml:space="preserve"> понуд</w:t>
            </w:r>
            <w:r w:rsidR="006B009D">
              <w:rPr>
                <w:lang w:val="sr-Cyrl-RS"/>
              </w:rPr>
              <w:t>аи и понуди</w:t>
            </w:r>
            <w:r w:rsidR="003D43F2">
              <w:rPr>
                <w:lang w:val="sr-Cyrl-RS"/>
              </w:rPr>
              <w:t xml:space="preserve"> са подизвођачима</w:t>
            </w:r>
          </w:p>
          <w:p w:rsidR="00E879DE" w:rsidRPr="00D91B33" w:rsidRDefault="00E879DE" w:rsidP="007272DF">
            <w:pPr>
              <w:pStyle w:val="ListParagraph"/>
              <w:numPr>
                <w:ilvl w:val="0"/>
                <w:numId w:val="1"/>
              </w:numPr>
              <w:autoSpaceDE w:val="0"/>
              <w:autoSpaceDN w:val="0"/>
              <w:adjustRightInd w:val="0"/>
              <w:rPr>
                <w:lang w:val="sr-Cyrl-RS"/>
              </w:rPr>
            </w:pPr>
            <w:r w:rsidRPr="00D91B33">
              <w:rPr>
                <w:lang w:val="sr-Cyrl-RS"/>
              </w:rPr>
              <w:t>закључивање оквирних споразума са више понуђача, подела предмета набавке по партијама и у оквирним сп</w:t>
            </w:r>
            <w:r w:rsidR="003D43F2">
              <w:rPr>
                <w:lang w:val="sr-Cyrl-RS"/>
              </w:rPr>
              <w:t>оразумима</w:t>
            </w:r>
          </w:p>
        </w:tc>
      </w:tr>
      <w:tr w:rsidR="00E879DE" w:rsidRPr="00D91B33" w:rsidTr="007272DF">
        <w:tc>
          <w:tcPr>
            <w:tcW w:w="4644" w:type="dxa"/>
            <w:tcBorders>
              <w:top w:val="nil"/>
              <w:bottom w:val="nil"/>
            </w:tcBorders>
            <w:shd w:val="clear" w:color="auto" w:fill="FABF8F" w:themeFill="accent6" w:themeFillTint="99"/>
          </w:tcPr>
          <w:p w:rsidR="00E879DE" w:rsidRPr="00E879DE" w:rsidRDefault="00E879DE" w:rsidP="007272DF">
            <w:pPr>
              <w:autoSpaceDE w:val="0"/>
              <w:autoSpaceDN w:val="0"/>
              <w:adjustRightInd w:val="0"/>
              <w:jc w:val="both"/>
              <w:rPr>
                <w:sz w:val="20"/>
                <w:szCs w:val="20"/>
                <w:lang w:val="sr-Cyrl-RS"/>
              </w:rPr>
            </w:pPr>
            <w:r w:rsidRPr="00E879DE">
              <w:rPr>
                <w:sz w:val="20"/>
                <w:szCs w:val="20"/>
                <w:lang w:val="sr-Cyrl-RS"/>
              </w:rPr>
              <w:t>Недостатак информација и недовољно комуникације са наручиоцима</w:t>
            </w:r>
          </w:p>
        </w:tc>
        <w:tc>
          <w:tcPr>
            <w:tcW w:w="9781" w:type="dxa"/>
            <w:tcBorders>
              <w:top w:val="nil"/>
              <w:bottom w:val="nil"/>
            </w:tcBorders>
            <w:shd w:val="clear" w:color="auto" w:fill="FABF8F" w:themeFill="accent6" w:themeFillTint="99"/>
          </w:tcPr>
          <w:p w:rsidR="00E879DE" w:rsidRPr="00E879DE" w:rsidRDefault="003D43F2" w:rsidP="007272DF">
            <w:pPr>
              <w:pStyle w:val="ListParagraph"/>
              <w:numPr>
                <w:ilvl w:val="0"/>
                <w:numId w:val="2"/>
              </w:numPr>
              <w:autoSpaceDE w:val="0"/>
              <w:autoSpaceDN w:val="0"/>
              <w:adjustRightInd w:val="0"/>
              <w:jc w:val="both"/>
              <w:rPr>
                <w:sz w:val="20"/>
                <w:szCs w:val="20"/>
                <w:lang w:val="sr-Cyrl-RS"/>
              </w:rPr>
            </w:pPr>
            <w:r>
              <w:rPr>
                <w:sz w:val="20"/>
                <w:szCs w:val="20"/>
                <w:lang w:val="sr-Cyrl-RS"/>
              </w:rPr>
              <w:t>објављивање планова набавки наручилаца и</w:t>
            </w:r>
            <w:r w:rsidR="00E879DE" w:rsidRPr="00E879DE">
              <w:rPr>
                <w:sz w:val="20"/>
                <w:szCs w:val="20"/>
                <w:lang w:val="sr-Cyrl-RS"/>
              </w:rPr>
              <w:t xml:space="preserve"> измена планова </w:t>
            </w:r>
          </w:p>
          <w:p w:rsidR="00E879DE" w:rsidRPr="00E879DE" w:rsidRDefault="00E879DE" w:rsidP="007272DF">
            <w:pPr>
              <w:pStyle w:val="ListParagraph"/>
              <w:numPr>
                <w:ilvl w:val="0"/>
                <w:numId w:val="2"/>
              </w:numPr>
              <w:autoSpaceDE w:val="0"/>
              <w:autoSpaceDN w:val="0"/>
              <w:adjustRightInd w:val="0"/>
              <w:jc w:val="both"/>
              <w:rPr>
                <w:sz w:val="20"/>
                <w:szCs w:val="20"/>
                <w:lang w:val="sr-Cyrl-RS"/>
              </w:rPr>
            </w:pPr>
            <w:r w:rsidRPr="00E879DE">
              <w:rPr>
                <w:sz w:val="20"/>
                <w:szCs w:val="20"/>
                <w:lang w:val="sr-Cyrl-RS"/>
              </w:rPr>
              <w:t>објављивање набавки које се спроводе по посебним поступцима међународних организација и финанс</w:t>
            </w:r>
            <w:r w:rsidR="003D43F2">
              <w:rPr>
                <w:sz w:val="20"/>
                <w:szCs w:val="20"/>
                <w:lang w:val="sr-Cyrl-RS"/>
              </w:rPr>
              <w:t>ијских институција</w:t>
            </w:r>
          </w:p>
          <w:p w:rsidR="00E879DE" w:rsidRPr="00E879DE" w:rsidRDefault="00E879DE" w:rsidP="007272DF">
            <w:pPr>
              <w:pStyle w:val="ListParagraph"/>
              <w:numPr>
                <w:ilvl w:val="0"/>
                <w:numId w:val="2"/>
              </w:numPr>
              <w:autoSpaceDE w:val="0"/>
              <w:autoSpaceDN w:val="0"/>
              <w:adjustRightInd w:val="0"/>
              <w:jc w:val="both"/>
              <w:rPr>
                <w:sz w:val="20"/>
                <w:szCs w:val="20"/>
                <w:lang w:val="sr-Cyrl-RS"/>
              </w:rPr>
            </w:pPr>
            <w:r w:rsidRPr="00E879DE">
              <w:rPr>
                <w:sz w:val="20"/>
                <w:szCs w:val="20"/>
                <w:lang w:val="sr-Cyrl-RS"/>
              </w:rPr>
              <w:t>увођење јединственог система регистрације понуђача за одређене шифре из општег речника набавки и њихово аутоматско обавештавање о предметима на</w:t>
            </w:r>
            <w:r w:rsidR="003D43F2">
              <w:rPr>
                <w:sz w:val="20"/>
                <w:szCs w:val="20"/>
                <w:lang w:val="sr-Cyrl-RS"/>
              </w:rPr>
              <w:t>бавки за које су заинтересовани</w:t>
            </w:r>
          </w:p>
          <w:p w:rsidR="00E879DE" w:rsidRPr="00E879DE" w:rsidRDefault="00E879DE" w:rsidP="007272DF">
            <w:pPr>
              <w:pStyle w:val="ListParagraph"/>
              <w:numPr>
                <w:ilvl w:val="0"/>
                <w:numId w:val="2"/>
              </w:numPr>
              <w:autoSpaceDE w:val="0"/>
              <w:autoSpaceDN w:val="0"/>
              <w:adjustRightInd w:val="0"/>
              <w:jc w:val="both"/>
              <w:rPr>
                <w:sz w:val="20"/>
                <w:szCs w:val="20"/>
                <w:lang w:val="sr-Cyrl-RS"/>
              </w:rPr>
            </w:pPr>
            <w:r w:rsidRPr="00E879DE">
              <w:rPr>
                <w:sz w:val="20"/>
                <w:szCs w:val="20"/>
                <w:lang w:val="sr-Cyrl-RS"/>
              </w:rPr>
              <w:t>унапређење претраге Портала</w:t>
            </w:r>
          </w:p>
          <w:p w:rsidR="00E879DE" w:rsidRPr="00E879DE" w:rsidRDefault="00E879DE" w:rsidP="007272DF">
            <w:pPr>
              <w:pStyle w:val="ListParagraph"/>
              <w:numPr>
                <w:ilvl w:val="0"/>
                <w:numId w:val="2"/>
              </w:numPr>
              <w:autoSpaceDE w:val="0"/>
              <w:autoSpaceDN w:val="0"/>
              <w:adjustRightInd w:val="0"/>
              <w:jc w:val="both"/>
              <w:rPr>
                <w:sz w:val="20"/>
                <w:szCs w:val="20"/>
                <w:lang w:val="sr-Cyrl-RS"/>
              </w:rPr>
            </w:pPr>
            <w:r w:rsidRPr="00E879DE">
              <w:rPr>
                <w:sz w:val="20"/>
                <w:szCs w:val="20"/>
                <w:lang w:val="sr-Cyrl-RS"/>
              </w:rPr>
              <w:t>унапређење call-центра за пружање по</w:t>
            </w:r>
            <w:r w:rsidR="003D43F2">
              <w:rPr>
                <w:sz w:val="20"/>
                <w:szCs w:val="20"/>
                <w:lang w:val="sr-Cyrl-RS"/>
              </w:rPr>
              <w:t>моћи приликом коришћења Портала</w:t>
            </w:r>
            <w:r w:rsidRPr="00E879DE">
              <w:rPr>
                <w:sz w:val="20"/>
                <w:szCs w:val="20"/>
                <w:lang w:val="sr-Cyrl-RS"/>
              </w:rPr>
              <w:t xml:space="preserve"> </w:t>
            </w:r>
          </w:p>
          <w:p w:rsidR="00E879DE" w:rsidRPr="00E879DE" w:rsidRDefault="00E879DE" w:rsidP="007272DF">
            <w:pPr>
              <w:pStyle w:val="ListParagraph"/>
              <w:numPr>
                <w:ilvl w:val="0"/>
                <w:numId w:val="2"/>
              </w:numPr>
              <w:autoSpaceDE w:val="0"/>
              <w:autoSpaceDN w:val="0"/>
              <w:adjustRightInd w:val="0"/>
              <w:jc w:val="both"/>
              <w:rPr>
                <w:sz w:val="20"/>
                <w:szCs w:val="20"/>
                <w:lang w:val="sr-Cyrl-RS"/>
              </w:rPr>
            </w:pPr>
            <w:r w:rsidRPr="00E879DE">
              <w:rPr>
                <w:sz w:val="20"/>
                <w:szCs w:val="20"/>
                <w:lang w:val="sr-Cyrl-RS"/>
              </w:rPr>
              <w:t>унапређење обука свих корисника Портала</w:t>
            </w:r>
          </w:p>
          <w:p w:rsidR="00E879DE" w:rsidRPr="00E879DE" w:rsidRDefault="00E879DE" w:rsidP="007272DF">
            <w:pPr>
              <w:pStyle w:val="ListParagraph"/>
              <w:numPr>
                <w:ilvl w:val="0"/>
                <w:numId w:val="2"/>
              </w:numPr>
              <w:autoSpaceDE w:val="0"/>
              <w:autoSpaceDN w:val="0"/>
              <w:adjustRightInd w:val="0"/>
              <w:jc w:val="both"/>
              <w:rPr>
                <w:sz w:val="20"/>
                <w:szCs w:val="20"/>
                <w:lang w:val="sr-Cyrl-RS"/>
              </w:rPr>
            </w:pPr>
            <w:r w:rsidRPr="00E879DE">
              <w:rPr>
                <w:sz w:val="20"/>
                <w:szCs w:val="20"/>
                <w:lang w:val="sr-Cyrl-RS"/>
              </w:rPr>
              <w:t>унапређење дијалога између наручилаца и М</w:t>
            </w:r>
            <w:r w:rsidR="003D43F2">
              <w:rPr>
                <w:sz w:val="20"/>
                <w:szCs w:val="20"/>
                <w:lang w:val="sr-Cyrl-RS"/>
              </w:rPr>
              <w:t>МСП</w:t>
            </w:r>
          </w:p>
          <w:p w:rsidR="00E879DE" w:rsidRPr="00E879DE" w:rsidRDefault="00E879DE" w:rsidP="007272DF">
            <w:pPr>
              <w:pStyle w:val="ListParagraph"/>
              <w:numPr>
                <w:ilvl w:val="0"/>
                <w:numId w:val="2"/>
              </w:numPr>
              <w:autoSpaceDE w:val="0"/>
              <w:autoSpaceDN w:val="0"/>
              <w:adjustRightInd w:val="0"/>
              <w:jc w:val="both"/>
              <w:rPr>
                <w:sz w:val="20"/>
                <w:szCs w:val="20"/>
                <w:lang w:val="sr-Cyrl-RS"/>
              </w:rPr>
            </w:pPr>
            <w:r w:rsidRPr="00E879DE">
              <w:rPr>
                <w:sz w:val="20"/>
                <w:szCs w:val="20"/>
                <w:lang w:val="sr-Cyrl-RS"/>
              </w:rPr>
              <w:t>јасне техничке спецификације</w:t>
            </w:r>
          </w:p>
        </w:tc>
      </w:tr>
      <w:tr w:rsidR="00E879DE" w:rsidRPr="00D91B33" w:rsidTr="007272DF">
        <w:tc>
          <w:tcPr>
            <w:tcW w:w="4644" w:type="dxa"/>
            <w:tcBorders>
              <w:top w:val="nil"/>
              <w:bottom w:val="nil"/>
            </w:tcBorders>
            <w:shd w:val="clear" w:color="auto" w:fill="D99594" w:themeFill="accent2" w:themeFillTint="99"/>
          </w:tcPr>
          <w:p w:rsidR="00E879DE" w:rsidRPr="00E879DE" w:rsidRDefault="00E879DE" w:rsidP="007272DF">
            <w:pPr>
              <w:autoSpaceDE w:val="0"/>
              <w:autoSpaceDN w:val="0"/>
              <w:adjustRightInd w:val="0"/>
              <w:jc w:val="both"/>
              <w:rPr>
                <w:sz w:val="20"/>
                <w:szCs w:val="20"/>
                <w:lang w:val="sr-Cyrl-RS"/>
              </w:rPr>
            </w:pPr>
            <w:r w:rsidRPr="00E879DE">
              <w:rPr>
                <w:sz w:val="20"/>
                <w:szCs w:val="20"/>
                <w:lang w:val="sr-Cyrl-RS"/>
              </w:rPr>
              <w:t>Кратак рок за припрему понуде</w:t>
            </w:r>
          </w:p>
        </w:tc>
        <w:tc>
          <w:tcPr>
            <w:tcW w:w="9781" w:type="dxa"/>
            <w:tcBorders>
              <w:top w:val="nil"/>
              <w:bottom w:val="nil"/>
            </w:tcBorders>
            <w:shd w:val="clear" w:color="auto" w:fill="D99594" w:themeFill="accent2" w:themeFillTint="99"/>
          </w:tcPr>
          <w:p w:rsidR="00E879DE" w:rsidRPr="00E879DE" w:rsidRDefault="00E879DE" w:rsidP="007272DF">
            <w:pPr>
              <w:pStyle w:val="ListParagraph"/>
              <w:numPr>
                <w:ilvl w:val="0"/>
                <w:numId w:val="3"/>
              </w:numPr>
              <w:autoSpaceDE w:val="0"/>
              <w:autoSpaceDN w:val="0"/>
              <w:adjustRightInd w:val="0"/>
              <w:jc w:val="both"/>
              <w:rPr>
                <w:sz w:val="20"/>
                <w:szCs w:val="20"/>
                <w:lang w:val="sr-Cyrl-RS"/>
              </w:rPr>
            </w:pPr>
            <w:r w:rsidRPr="00E879DE">
              <w:rPr>
                <w:sz w:val="20"/>
                <w:szCs w:val="20"/>
                <w:lang w:val="sr-Cyrl-RS"/>
              </w:rPr>
              <w:t>одређивање дужих рокова за подношење понуда нарочито у сложеним набавкам</w:t>
            </w:r>
            <w:r w:rsidR="003D43F2">
              <w:rPr>
                <w:sz w:val="20"/>
                <w:szCs w:val="20"/>
                <w:lang w:val="sr-Cyrl-RS"/>
              </w:rPr>
              <w:t>а</w:t>
            </w:r>
          </w:p>
          <w:p w:rsidR="00E879DE" w:rsidRPr="00E879DE" w:rsidRDefault="00E879DE" w:rsidP="003D43F2">
            <w:pPr>
              <w:pStyle w:val="ListParagraph"/>
              <w:numPr>
                <w:ilvl w:val="0"/>
                <w:numId w:val="3"/>
              </w:numPr>
              <w:autoSpaceDE w:val="0"/>
              <w:autoSpaceDN w:val="0"/>
              <w:adjustRightInd w:val="0"/>
              <w:jc w:val="both"/>
              <w:rPr>
                <w:sz w:val="20"/>
                <w:szCs w:val="20"/>
                <w:lang w:val="sr-Cyrl-RS"/>
              </w:rPr>
            </w:pPr>
            <w:r w:rsidRPr="00E879DE">
              <w:rPr>
                <w:sz w:val="20"/>
                <w:szCs w:val="20"/>
                <w:lang w:val="sr-Cyrl-RS"/>
              </w:rPr>
              <w:t>објављивање претходног обавештења</w:t>
            </w:r>
          </w:p>
        </w:tc>
      </w:tr>
      <w:tr w:rsidR="00E879DE" w:rsidRPr="00D91B33" w:rsidTr="007272DF">
        <w:tc>
          <w:tcPr>
            <w:tcW w:w="4644" w:type="dxa"/>
            <w:tcBorders>
              <w:top w:val="nil"/>
              <w:bottom w:val="nil"/>
            </w:tcBorders>
            <w:shd w:val="clear" w:color="auto" w:fill="FABF8F" w:themeFill="accent6" w:themeFillTint="99"/>
          </w:tcPr>
          <w:p w:rsidR="00E879DE" w:rsidRPr="00E879DE" w:rsidRDefault="00E879DE" w:rsidP="007272DF">
            <w:pPr>
              <w:autoSpaceDE w:val="0"/>
              <w:autoSpaceDN w:val="0"/>
              <w:adjustRightInd w:val="0"/>
              <w:jc w:val="both"/>
              <w:rPr>
                <w:sz w:val="20"/>
                <w:szCs w:val="20"/>
                <w:lang w:val="sr-Cyrl-RS"/>
              </w:rPr>
            </w:pPr>
            <w:r w:rsidRPr="00E879DE">
              <w:rPr>
                <w:sz w:val="20"/>
                <w:szCs w:val="20"/>
                <w:lang w:val="sr-Cyrl-RS"/>
              </w:rPr>
              <w:t>Недостатак потребног знања о процедурама и искуства у поступцима јавне набавке</w:t>
            </w:r>
          </w:p>
        </w:tc>
        <w:tc>
          <w:tcPr>
            <w:tcW w:w="9781" w:type="dxa"/>
            <w:tcBorders>
              <w:top w:val="nil"/>
              <w:bottom w:val="nil"/>
            </w:tcBorders>
            <w:shd w:val="clear" w:color="auto" w:fill="FABF8F" w:themeFill="accent6" w:themeFillTint="99"/>
          </w:tcPr>
          <w:p w:rsidR="00E879DE" w:rsidRPr="00E879DE" w:rsidRDefault="00E879DE" w:rsidP="007272DF">
            <w:pPr>
              <w:pStyle w:val="ListParagraph"/>
              <w:numPr>
                <w:ilvl w:val="0"/>
                <w:numId w:val="4"/>
              </w:numPr>
              <w:autoSpaceDE w:val="0"/>
              <w:autoSpaceDN w:val="0"/>
              <w:adjustRightInd w:val="0"/>
              <w:jc w:val="both"/>
              <w:rPr>
                <w:sz w:val="20"/>
                <w:szCs w:val="20"/>
                <w:lang w:val="sr-Cyrl-RS"/>
              </w:rPr>
            </w:pPr>
            <w:r w:rsidRPr="00E879DE">
              <w:rPr>
                <w:sz w:val="20"/>
                <w:szCs w:val="20"/>
                <w:lang w:val="sr-Cyrl-RS"/>
              </w:rPr>
              <w:t>одржавање специјали</w:t>
            </w:r>
            <w:r w:rsidR="003D43F2">
              <w:rPr>
                <w:sz w:val="20"/>
                <w:szCs w:val="20"/>
                <w:lang w:val="sr-Cyrl-RS"/>
              </w:rPr>
              <w:t>зованих  обука и радионице за ММСП</w:t>
            </w:r>
          </w:p>
          <w:p w:rsidR="00E879DE" w:rsidRPr="00E879DE" w:rsidRDefault="00E879DE" w:rsidP="007272DF">
            <w:pPr>
              <w:pStyle w:val="ListParagraph"/>
              <w:numPr>
                <w:ilvl w:val="0"/>
                <w:numId w:val="4"/>
              </w:numPr>
              <w:autoSpaceDE w:val="0"/>
              <w:autoSpaceDN w:val="0"/>
              <w:adjustRightInd w:val="0"/>
              <w:jc w:val="both"/>
              <w:rPr>
                <w:sz w:val="20"/>
                <w:szCs w:val="20"/>
                <w:lang w:val="sr-Cyrl-RS"/>
              </w:rPr>
            </w:pPr>
            <w:r w:rsidRPr="00E879DE">
              <w:rPr>
                <w:sz w:val="20"/>
                <w:szCs w:val="20"/>
                <w:lang w:val="sr-Cyrl-RS"/>
              </w:rPr>
              <w:t>изр</w:t>
            </w:r>
            <w:r w:rsidR="003D43F2">
              <w:rPr>
                <w:sz w:val="20"/>
                <w:szCs w:val="20"/>
                <w:lang w:val="sr-Cyrl-RS"/>
              </w:rPr>
              <w:t>ада приручника за наручиоце</w:t>
            </w:r>
            <w:r w:rsidR="009565D3">
              <w:rPr>
                <w:sz w:val="20"/>
                <w:szCs w:val="20"/>
                <w:lang w:val="sr-Cyrl-RS"/>
              </w:rPr>
              <w:t>, понуђаче</w:t>
            </w:r>
            <w:r w:rsidR="003D43F2">
              <w:rPr>
                <w:sz w:val="20"/>
                <w:szCs w:val="20"/>
                <w:lang w:val="sr-Cyrl-RS"/>
              </w:rPr>
              <w:t xml:space="preserve"> и ММС</w:t>
            </w:r>
            <w:r w:rsidRPr="00E879DE">
              <w:rPr>
                <w:sz w:val="20"/>
                <w:szCs w:val="20"/>
                <w:lang w:val="sr-Cyrl-RS"/>
              </w:rPr>
              <w:t>П</w:t>
            </w:r>
          </w:p>
        </w:tc>
      </w:tr>
      <w:tr w:rsidR="00E879DE" w:rsidRPr="00D91B33" w:rsidTr="007272DF">
        <w:tc>
          <w:tcPr>
            <w:tcW w:w="4644" w:type="dxa"/>
            <w:tcBorders>
              <w:top w:val="nil"/>
              <w:bottom w:val="nil"/>
            </w:tcBorders>
            <w:shd w:val="clear" w:color="auto" w:fill="D99594" w:themeFill="accent2" w:themeFillTint="99"/>
          </w:tcPr>
          <w:p w:rsidR="00E879DE" w:rsidRPr="00E879DE" w:rsidRDefault="00E879DE" w:rsidP="007272DF">
            <w:pPr>
              <w:autoSpaceDE w:val="0"/>
              <w:autoSpaceDN w:val="0"/>
              <w:adjustRightInd w:val="0"/>
              <w:jc w:val="both"/>
              <w:rPr>
                <w:sz w:val="20"/>
                <w:szCs w:val="20"/>
                <w:lang w:val="sr-Cyrl-RS"/>
              </w:rPr>
            </w:pPr>
            <w:r w:rsidRPr="00E879DE">
              <w:rPr>
                <w:sz w:val="20"/>
                <w:szCs w:val="20"/>
                <w:lang w:val="sr-Cyrl-RS"/>
              </w:rPr>
              <w:t>Давање предности најниже понуђеној цени у односу на економски најповољнију понуду</w:t>
            </w:r>
          </w:p>
        </w:tc>
        <w:tc>
          <w:tcPr>
            <w:tcW w:w="9781" w:type="dxa"/>
            <w:tcBorders>
              <w:top w:val="nil"/>
              <w:bottom w:val="nil"/>
            </w:tcBorders>
            <w:shd w:val="clear" w:color="auto" w:fill="D99594" w:themeFill="accent2" w:themeFillTint="99"/>
          </w:tcPr>
          <w:p w:rsidR="00E879DE" w:rsidRPr="00E879DE" w:rsidRDefault="006B009D" w:rsidP="007272DF">
            <w:pPr>
              <w:pStyle w:val="ListParagraph"/>
              <w:numPr>
                <w:ilvl w:val="0"/>
                <w:numId w:val="5"/>
              </w:numPr>
              <w:autoSpaceDE w:val="0"/>
              <w:autoSpaceDN w:val="0"/>
              <w:adjustRightInd w:val="0"/>
              <w:jc w:val="both"/>
              <w:rPr>
                <w:sz w:val="20"/>
                <w:szCs w:val="20"/>
                <w:lang w:val="sr-Cyrl-RS"/>
              </w:rPr>
            </w:pPr>
            <w:r>
              <w:rPr>
                <w:sz w:val="20"/>
                <w:szCs w:val="20"/>
                <w:lang w:val="sr-Cyrl-RS"/>
              </w:rPr>
              <w:t>коришћење</w:t>
            </w:r>
            <w:r w:rsidR="00E879DE" w:rsidRPr="00E879DE">
              <w:rPr>
                <w:sz w:val="20"/>
                <w:szCs w:val="20"/>
                <w:lang w:val="sr-Cyrl-RS"/>
              </w:rPr>
              <w:t xml:space="preserve"> критеријум</w:t>
            </w:r>
            <w:r>
              <w:rPr>
                <w:sz w:val="20"/>
                <w:szCs w:val="20"/>
                <w:lang w:val="sr-Cyrl-RS"/>
              </w:rPr>
              <w:t>а</w:t>
            </w:r>
            <w:r w:rsidR="00E879DE" w:rsidRPr="00E879DE">
              <w:rPr>
                <w:sz w:val="20"/>
                <w:szCs w:val="20"/>
                <w:lang w:val="sr-Cyrl-RS"/>
              </w:rPr>
              <w:t xml:space="preserve"> економски најповољнија понуда који може обухватити и друге елементе критеријума осим цене</w:t>
            </w:r>
            <w:r>
              <w:rPr>
                <w:sz w:val="20"/>
                <w:szCs w:val="20"/>
                <w:lang w:val="sr-Cyrl-RS"/>
              </w:rPr>
              <w:t>,</w:t>
            </w:r>
            <w:r w:rsidR="00E879DE" w:rsidRPr="00E879DE">
              <w:rPr>
                <w:sz w:val="20"/>
                <w:szCs w:val="20"/>
                <w:lang w:val="sr-Cyrl-RS"/>
              </w:rPr>
              <w:t xml:space="preserve"> с нагласком на трошкове животног циклуса производа</w:t>
            </w:r>
          </w:p>
        </w:tc>
      </w:tr>
      <w:tr w:rsidR="00E879DE" w:rsidRPr="00D91B33" w:rsidTr="007272DF">
        <w:tc>
          <w:tcPr>
            <w:tcW w:w="4644" w:type="dxa"/>
            <w:tcBorders>
              <w:top w:val="nil"/>
              <w:bottom w:val="nil"/>
            </w:tcBorders>
            <w:shd w:val="clear" w:color="auto" w:fill="FABF8F" w:themeFill="accent6" w:themeFillTint="99"/>
          </w:tcPr>
          <w:p w:rsidR="00E879DE" w:rsidRPr="00E879DE" w:rsidRDefault="00E879DE" w:rsidP="007272DF">
            <w:pPr>
              <w:autoSpaceDE w:val="0"/>
              <w:autoSpaceDN w:val="0"/>
              <w:adjustRightInd w:val="0"/>
              <w:jc w:val="both"/>
              <w:rPr>
                <w:sz w:val="20"/>
                <w:szCs w:val="20"/>
                <w:lang w:val="sr-Cyrl-RS"/>
              </w:rPr>
            </w:pPr>
            <w:r w:rsidRPr="00E879DE">
              <w:rPr>
                <w:sz w:val="20"/>
                <w:szCs w:val="20"/>
                <w:lang w:val="sr-Cyrl-RS"/>
              </w:rPr>
              <w:t>Непотребна административна оптерећења</w:t>
            </w:r>
          </w:p>
        </w:tc>
        <w:tc>
          <w:tcPr>
            <w:tcW w:w="9781" w:type="dxa"/>
            <w:tcBorders>
              <w:top w:val="nil"/>
              <w:bottom w:val="nil"/>
            </w:tcBorders>
            <w:shd w:val="clear" w:color="auto" w:fill="FABF8F" w:themeFill="accent6" w:themeFillTint="99"/>
          </w:tcPr>
          <w:p w:rsidR="00E879DE" w:rsidRPr="00E879DE" w:rsidRDefault="00E879DE" w:rsidP="007272DF">
            <w:pPr>
              <w:pStyle w:val="ListParagraph"/>
              <w:numPr>
                <w:ilvl w:val="0"/>
                <w:numId w:val="5"/>
              </w:numPr>
              <w:autoSpaceDE w:val="0"/>
              <w:autoSpaceDN w:val="0"/>
              <w:adjustRightInd w:val="0"/>
              <w:jc w:val="both"/>
              <w:rPr>
                <w:sz w:val="20"/>
                <w:szCs w:val="20"/>
                <w:lang w:val="sr-Cyrl-RS"/>
              </w:rPr>
            </w:pPr>
            <w:r w:rsidRPr="00E879DE">
              <w:rPr>
                <w:sz w:val="20"/>
                <w:szCs w:val="20"/>
                <w:lang w:val="sr-Cyrl-RS"/>
              </w:rPr>
              <w:t xml:space="preserve">омогућити достављање изјаве о испуњености обавезних услова за учествовање </w:t>
            </w:r>
            <w:r w:rsidR="003D43F2">
              <w:rPr>
                <w:sz w:val="20"/>
                <w:szCs w:val="20"/>
                <w:lang w:val="sr-Cyrl-RS"/>
              </w:rPr>
              <w:t>у свим поступцима јавне набавке</w:t>
            </w:r>
          </w:p>
          <w:p w:rsidR="00E879DE" w:rsidRPr="00E879DE" w:rsidRDefault="00E879DE" w:rsidP="007272DF">
            <w:pPr>
              <w:pStyle w:val="ListParagraph"/>
              <w:numPr>
                <w:ilvl w:val="0"/>
                <w:numId w:val="5"/>
              </w:numPr>
              <w:autoSpaceDE w:val="0"/>
              <w:autoSpaceDN w:val="0"/>
              <w:adjustRightInd w:val="0"/>
              <w:jc w:val="both"/>
              <w:rPr>
                <w:sz w:val="20"/>
                <w:szCs w:val="20"/>
                <w:lang w:val="sr-Cyrl-RS"/>
              </w:rPr>
            </w:pPr>
            <w:r w:rsidRPr="00E879DE">
              <w:rPr>
                <w:sz w:val="20"/>
                <w:szCs w:val="20"/>
                <w:lang w:val="sr-Cyrl-RS"/>
              </w:rPr>
              <w:t>омогућити достављање електронских понуда</w:t>
            </w:r>
          </w:p>
        </w:tc>
      </w:tr>
      <w:tr w:rsidR="00E879DE" w:rsidRPr="00D91B33" w:rsidTr="007272DF">
        <w:tc>
          <w:tcPr>
            <w:tcW w:w="4644" w:type="dxa"/>
            <w:tcBorders>
              <w:top w:val="nil"/>
              <w:bottom w:val="thickThinSmallGap" w:sz="24" w:space="0" w:color="auto"/>
            </w:tcBorders>
            <w:shd w:val="clear" w:color="auto" w:fill="D99594" w:themeFill="accent2" w:themeFillTint="99"/>
          </w:tcPr>
          <w:p w:rsidR="00E879DE" w:rsidRPr="00E879DE" w:rsidRDefault="00E879DE" w:rsidP="007272DF">
            <w:pPr>
              <w:autoSpaceDE w:val="0"/>
              <w:autoSpaceDN w:val="0"/>
              <w:adjustRightInd w:val="0"/>
              <w:jc w:val="both"/>
              <w:rPr>
                <w:sz w:val="20"/>
                <w:szCs w:val="20"/>
                <w:lang w:val="sr-Cyrl-RS"/>
              </w:rPr>
            </w:pPr>
            <w:r w:rsidRPr="00E879DE">
              <w:rPr>
                <w:sz w:val="20"/>
                <w:szCs w:val="20"/>
                <w:lang w:val="sr-Cyrl-RS"/>
              </w:rPr>
              <w:t>Кашњење у плаћању или неплаћање за извршени посао</w:t>
            </w:r>
          </w:p>
        </w:tc>
        <w:tc>
          <w:tcPr>
            <w:tcW w:w="9781" w:type="dxa"/>
            <w:tcBorders>
              <w:top w:val="nil"/>
              <w:bottom w:val="thickThinSmallGap" w:sz="24" w:space="0" w:color="auto"/>
            </w:tcBorders>
            <w:shd w:val="clear" w:color="auto" w:fill="D99594" w:themeFill="accent2" w:themeFillTint="99"/>
          </w:tcPr>
          <w:p w:rsidR="00E879DE" w:rsidRPr="00E879DE" w:rsidRDefault="00E879DE" w:rsidP="007272DF">
            <w:pPr>
              <w:pStyle w:val="ListParagraph"/>
              <w:numPr>
                <w:ilvl w:val="0"/>
                <w:numId w:val="5"/>
              </w:numPr>
              <w:autoSpaceDE w:val="0"/>
              <w:autoSpaceDN w:val="0"/>
              <w:adjustRightInd w:val="0"/>
              <w:jc w:val="both"/>
              <w:rPr>
                <w:sz w:val="20"/>
                <w:szCs w:val="20"/>
                <w:lang w:val="sr-Cyrl-RS"/>
              </w:rPr>
            </w:pPr>
            <w:r w:rsidRPr="00E879DE">
              <w:rPr>
                <w:sz w:val="20"/>
                <w:szCs w:val="20"/>
                <w:lang w:val="sr-Cyrl-RS"/>
              </w:rPr>
              <w:t>поступати у роковима за плаћање прописаним законом</w:t>
            </w:r>
          </w:p>
        </w:tc>
      </w:tr>
    </w:tbl>
    <w:p w:rsidR="001F3E6B" w:rsidRPr="00822D94" w:rsidRDefault="001F3E6B" w:rsidP="00EE08B0">
      <w:pPr>
        <w:spacing w:after="0"/>
        <w:ind w:firstLine="708"/>
        <w:jc w:val="both"/>
        <w:rPr>
          <w:sz w:val="24"/>
          <w:szCs w:val="24"/>
          <w:lang w:val="sr-Cyrl-RS"/>
        </w:rPr>
      </w:pPr>
    </w:p>
    <w:sectPr w:rsidR="001F3E6B" w:rsidRPr="00822D94" w:rsidSect="00E879D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3D" w:rsidRDefault="0040763D" w:rsidP="00D0580A">
      <w:pPr>
        <w:spacing w:after="0" w:line="240" w:lineRule="auto"/>
      </w:pPr>
      <w:r>
        <w:separator/>
      </w:r>
    </w:p>
  </w:endnote>
  <w:endnote w:type="continuationSeparator" w:id="0">
    <w:p w:rsidR="0040763D" w:rsidRDefault="0040763D" w:rsidP="00D05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654512"/>
      <w:docPartObj>
        <w:docPartGallery w:val="Page Numbers (Bottom of Page)"/>
        <w:docPartUnique/>
      </w:docPartObj>
    </w:sdtPr>
    <w:sdtEndPr>
      <w:rPr>
        <w:noProof/>
      </w:rPr>
    </w:sdtEndPr>
    <w:sdtContent>
      <w:p w:rsidR="007272DF" w:rsidRDefault="007272DF">
        <w:pPr>
          <w:pStyle w:val="Footer"/>
          <w:jc w:val="center"/>
        </w:pPr>
        <w:r>
          <w:fldChar w:fldCharType="begin"/>
        </w:r>
        <w:r>
          <w:instrText xml:space="preserve"> PAGE   \* MERGEFORMAT </w:instrText>
        </w:r>
        <w:r>
          <w:fldChar w:fldCharType="separate"/>
        </w:r>
        <w:r w:rsidR="00FC0144">
          <w:rPr>
            <w:noProof/>
          </w:rPr>
          <w:t>1</w:t>
        </w:r>
        <w:r>
          <w:rPr>
            <w:noProof/>
          </w:rPr>
          <w:fldChar w:fldCharType="end"/>
        </w:r>
      </w:p>
    </w:sdtContent>
  </w:sdt>
  <w:p w:rsidR="007272DF" w:rsidRDefault="00727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3D" w:rsidRDefault="0040763D" w:rsidP="00D0580A">
      <w:pPr>
        <w:spacing w:after="0" w:line="240" w:lineRule="auto"/>
      </w:pPr>
      <w:r>
        <w:separator/>
      </w:r>
    </w:p>
  </w:footnote>
  <w:footnote w:type="continuationSeparator" w:id="0">
    <w:p w:rsidR="0040763D" w:rsidRDefault="0040763D" w:rsidP="00D0580A">
      <w:pPr>
        <w:spacing w:after="0" w:line="240" w:lineRule="auto"/>
      </w:pPr>
      <w:r>
        <w:continuationSeparator/>
      </w:r>
    </w:p>
  </w:footnote>
  <w:footnote w:id="1">
    <w:p w:rsidR="007272DF" w:rsidRPr="001D7879" w:rsidRDefault="007272DF">
      <w:pPr>
        <w:pStyle w:val="FootnoteText"/>
        <w:rPr>
          <w:lang w:val="sr-Cyrl-RS"/>
        </w:rPr>
      </w:pPr>
      <w:r>
        <w:rPr>
          <w:rStyle w:val="FootnoteReference"/>
        </w:rPr>
        <w:footnoteRef/>
      </w:r>
      <w:r>
        <w:t xml:space="preserve"> </w:t>
      </w:r>
      <w:r>
        <w:rPr>
          <w:lang w:val="sr-Cyrl-RS"/>
        </w:rPr>
        <w:t>Директива 2014/24/ЕУ</w:t>
      </w:r>
    </w:p>
  </w:footnote>
  <w:footnote w:id="2">
    <w:p w:rsidR="007272DF" w:rsidRDefault="007272DF">
      <w:pPr>
        <w:pStyle w:val="FootnoteText"/>
        <w:rPr>
          <w:lang w:val="sr-Cyrl-RS"/>
        </w:rPr>
      </w:pPr>
      <w:r>
        <w:rPr>
          <w:rStyle w:val="FootnoteReference"/>
        </w:rPr>
        <w:footnoteRef/>
      </w:r>
      <w:r>
        <w:t xml:space="preserve"> </w:t>
      </w:r>
      <w:hyperlink r:id="rId1" w:history="1">
        <w:r w:rsidRPr="00AA15F0">
          <w:rPr>
            <w:rStyle w:val="Hyperlink"/>
          </w:rPr>
          <w:t>http://www.pks.rs/PrivredaSrbije.aspx?id=20</w:t>
        </w:r>
      </w:hyperlink>
    </w:p>
    <w:p w:rsidR="007272DF" w:rsidRPr="006E49A9" w:rsidRDefault="007272DF">
      <w:pPr>
        <w:pStyle w:val="FootnoteText"/>
        <w:rPr>
          <w:lang w:val="sr-Cyrl-RS"/>
        </w:rPr>
      </w:pPr>
    </w:p>
  </w:footnote>
  <w:footnote w:id="3">
    <w:p w:rsidR="00810B1F" w:rsidRDefault="00810B1F" w:rsidP="00810B1F">
      <w:pPr>
        <w:pStyle w:val="FootnoteText"/>
      </w:pPr>
      <w:r>
        <w:rPr>
          <w:rStyle w:val="FootnoteReference"/>
        </w:rPr>
        <w:footnoteRef/>
      </w:r>
      <w:r>
        <w:t xml:space="preserve"> </w:t>
      </w:r>
      <w:r>
        <w:t>A Partial and Fragile Recovery, Annual Report on European SMEs 2013/2014, Final Report</w:t>
      </w:r>
    </w:p>
    <w:p w:rsidR="00810B1F" w:rsidRDefault="0040763D" w:rsidP="00810B1F">
      <w:pPr>
        <w:pStyle w:val="FootnoteText"/>
        <w:rPr>
          <w:lang w:val="sr-Cyrl-RS"/>
        </w:rPr>
      </w:pPr>
      <w:hyperlink r:id="rId2" w:history="1">
        <w:r w:rsidR="00810B1F" w:rsidRPr="00AA15F0">
          <w:rPr>
            <w:rStyle w:val="Hyperlink"/>
          </w:rPr>
          <w:t>http://ec.europa.eu/growth/smes/business-friendly-environment/performance-review/files/supporting-documents/2014/annual-report-smes-2014_en.pdf</w:t>
        </w:r>
      </w:hyperlink>
    </w:p>
    <w:p w:rsidR="00810B1F" w:rsidRPr="006E49A9" w:rsidRDefault="00810B1F" w:rsidP="00810B1F">
      <w:pPr>
        <w:pStyle w:val="FootnoteText"/>
        <w:rPr>
          <w:lang w:val="sr-Cyrl-RS"/>
        </w:rPr>
      </w:pPr>
    </w:p>
  </w:footnote>
  <w:footnote w:id="4">
    <w:p w:rsidR="007272DF" w:rsidRPr="006E49A9" w:rsidRDefault="007272DF">
      <w:pPr>
        <w:pStyle w:val="FootnoteText"/>
        <w:rPr>
          <w:lang w:val="sr-Cyrl-RS"/>
        </w:rPr>
      </w:pPr>
      <w:r>
        <w:rPr>
          <w:rStyle w:val="FootnoteReference"/>
        </w:rPr>
        <w:footnoteRef/>
      </w:r>
      <w:r>
        <w:t xml:space="preserve"> </w:t>
      </w:r>
      <w:hyperlink r:id="rId3" w:history="1">
        <w:r w:rsidRPr="00AA15F0">
          <w:rPr>
            <w:rStyle w:val="Hyperlink"/>
          </w:rPr>
          <w:t>http://eur-lex.europa.eu/legal-content/EN/TXT/PDF/?uri=CELEX:52008DC0394&amp;from=EN</w:t>
        </w:r>
      </w:hyperlink>
    </w:p>
  </w:footnote>
  <w:footnote w:id="5">
    <w:p w:rsidR="007272DF" w:rsidRDefault="007272DF">
      <w:pPr>
        <w:pStyle w:val="FootnoteText"/>
        <w:rPr>
          <w:lang w:val="sr-Cyrl-RS"/>
        </w:rPr>
      </w:pPr>
      <w:r>
        <w:rPr>
          <w:rStyle w:val="FootnoteReference"/>
        </w:rPr>
        <w:footnoteRef/>
      </w:r>
      <w:r>
        <w:t xml:space="preserve"> </w:t>
      </w:r>
      <w:r>
        <w:t>Стратегиј</w:t>
      </w:r>
      <w:r>
        <w:rPr>
          <w:lang w:val="sr-Cyrl-RS"/>
        </w:rPr>
        <w:t>а</w:t>
      </w:r>
      <w:r w:rsidRPr="00EA73BF">
        <w:t xml:space="preserve"> развоја малих и средњих предузећа, предузетништва и конкурентности за период од 2015-2020. </w:t>
      </w:r>
      <w:r>
        <w:rPr>
          <w:lang w:val="sr-Cyrl-RS"/>
        </w:rPr>
        <w:t>г</w:t>
      </w:r>
      <w:r w:rsidRPr="00EA73BF">
        <w:t xml:space="preserve">одине </w:t>
      </w:r>
      <w:hyperlink r:id="rId4" w:history="1">
        <w:r w:rsidRPr="00AA15F0">
          <w:rPr>
            <w:rStyle w:val="Hyperlink"/>
          </w:rPr>
          <w:t>http://www.srbija.gov.rs/vesti/dokumenti_sekcija.php?id=45678</w:t>
        </w:r>
      </w:hyperlink>
    </w:p>
    <w:p w:rsidR="007272DF" w:rsidRPr="006E49A9" w:rsidRDefault="007272DF">
      <w:pPr>
        <w:pStyle w:val="FootnoteText"/>
        <w:rPr>
          <w:lang w:val="sr-Cyrl-RS"/>
        </w:rPr>
      </w:pPr>
    </w:p>
    <w:p w:rsidR="007272DF" w:rsidRPr="006E49A9" w:rsidRDefault="007272DF">
      <w:pPr>
        <w:pStyle w:val="FootnoteText"/>
        <w:rPr>
          <w:lang w:val="sr-Cyrl-RS"/>
        </w:rPr>
      </w:pPr>
    </w:p>
    <w:p w:rsidR="007272DF" w:rsidRPr="00EA73BF" w:rsidRDefault="007272DF">
      <w:pPr>
        <w:pStyle w:val="FootnoteText"/>
        <w:rPr>
          <w:lang w:val="sr-Cyrl-RS"/>
        </w:rPr>
      </w:pPr>
    </w:p>
  </w:footnote>
  <w:footnote w:id="6">
    <w:p w:rsidR="007272DF" w:rsidRPr="00C9245B" w:rsidRDefault="007272DF">
      <w:pPr>
        <w:pStyle w:val="FootnoteText"/>
        <w:rPr>
          <w:lang w:val="sr-Cyrl-RS"/>
        </w:rPr>
      </w:pPr>
      <w:r>
        <w:rPr>
          <w:rStyle w:val="FootnoteReference"/>
        </w:rPr>
        <w:footnoteRef/>
      </w:r>
      <w:r>
        <w:t xml:space="preserve"> </w:t>
      </w:r>
      <w:r>
        <w:rPr>
          <w:lang w:val="sr-Cyrl-RS"/>
        </w:rPr>
        <w:t>Члан 48. став 2. ЗЈН</w:t>
      </w:r>
    </w:p>
  </w:footnote>
  <w:footnote w:id="7">
    <w:p w:rsidR="007272DF" w:rsidRPr="00C9245B" w:rsidRDefault="007272DF">
      <w:pPr>
        <w:pStyle w:val="FootnoteText"/>
        <w:rPr>
          <w:lang w:val="sr-Cyrl-RS"/>
        </w:rPr>
      </w:pPr>
      <w:r>
        <w:rPr>
          <w:rStyle w:val="FootnoteReference"/>
        </w:rPr>
        <w:footnoteRef/>
      </w:r>
      <w:r>
        <w:t xml:space="preserve"> </w:t>
      </w:r>
      <w:r>
        <w:rPr>
          <w:lang w:val="sr-Cyrl-RS"/>
        </w:rPr>
        <w:t xml:space="preserve">Члан </w:t>
      </w:r>
      <w:r>
        <w:rPr>
          <w:lang w:val="sr-Cyrl-RS"/>
        </w:rPr>
        <w:t>49. став 3. ЗЈН</w:t>
      </w:r>
    </w:p>
  </w:footnote>
  <w:footnote w:id="8">
    <w:p w:rsidR="007272DF" w:rsidRPr="00B20115" w:rsidRDefault="007272DF">
      <w:pPr>
        <w:pStyle w:val="FootnoteText"/>
        <w:rPr>
          <w:lang w:val="sr-Cyrl-RS"/>
        </w:rPr>
      </w:pPr>
      <w:r>
        <w:rPr>
          <w:rStyle w:val="FootnoteReference"/>
        </w:rPr>
        <w:footnoteRef/>
      </w:r>
      <w:r>
        <w:t xml:space="preserve"> </w:t>
      </w:r>
      <w:r>
        <w:rPr>
          <w:lang w:val="sr-Cyrl-RS"/>
        </w:rPr>
        <w:t xml:space="preserve">Члан </w:t>
      </w:r>
      <w:r>
        <w:rPr>
          <w:lang w:val="sr-Cyrl-RS"/>
        </w:rPr>
        <w:t>46. Директиве 2014/24/ЕУ</w:t>
      </w:r>
    </w:p>
  </w:footnote>
  <w:footnote w:id="9">
    <w:p w:rsidR="007272DF" w:rsidRPr="00815778" w:rsidRDefault="007272DF">
      <w:pPr>
        <w:pStyle w:val="FootnoteText"/>
        <w:rPr>
          <w:lang w:val="sr-Cyrl-RS"/>
        </w:rPr>
      </w:pPr>
      <w:r>
        <w:rPr>
          <w:rStyle w:val="FootnoteReference"/>
        </w:rPr>
        <w:footnoteRef/>
      </w:r>
      <w:r>
        <w:t xml:space="preserve"> </w:t>
      </w:r>
      <w:r>
        <w:rPr>
          <w:lang w:val="sr-Cyrl-RS"/>
        </w:rPr>
        <w:t xml:space="preserve">Члан </w:t>
      </w:r>
      <w:r>
        <w:rPr>
          <w:lang w:val="sr-Cyrl-RS"/>
        </w:rPr>
        <w:t>77. став 2. тачка 1) ЗЈН</w:t>
      </w:r>
    </w:p>
  </w:footnote>
  <w:footnote w:id="10">
    <w:p w:rsidR="007272DF" w:rsidRPr="00275366" w:rsidRDefault="007272DF">
      <w:pPr>
        <w:pStyle w:val="FootnoteText"/>
        <w:rPr>
          <w:lang w:val="sr-Cyrl-RS"/>
        </w:rPr>
      </w:pPr>
      <w:r>
        <w:rPr>
          <w:rStyle w:val="FootnoteReference"/>
        </w:rPr>
        <w:footnoteRef/>
      </w:r>
      <w:r>
        <w:t xml:space="preserve"> </w:t>
      </w:r>
      <w:r>
        <w:rPr>
          <w:lang w:val="sr-Cyrl-RS"/>
        </w:rPr>
        <w:t xml:space="preserve">Члан </w:t>
      </w:r>
      <w:r>
        <w:rPr>
          <w:lang w:val="sr-Cyrl-RS"/>
        </w:rPr>
        <w:t>76. став 6. ЗЈН</w:t>
      </w:r>
    </w:p>
  </w:footnote>
  <w:footnote w:id="11">
    <w:p w:rsidR="007272DF" w:rsidRPr="00275366" w:rsidRDefault="007272DF">
      <w:pPr>
        <w:pStyle w:val="FootnoteText"/>
        <w:rPr>
          <w:lang w:val="sr-Cyrl-RS"/>
        </w:rPr>
      </w:pPr>
      <w:r>
        <w:rPr>
          <w:rStyle w:val="FootnoteReference"/>
        </w:rPr>
        <w:footnoteRef/>
      </w:r>
      <w:r>
        <w:t xml:space="preserve"> </w:t>
      </w:r>
      <w:r>
        <w:rPr>
          <w:lang w:val="sr-Cyrl-RS"/>
        </w:rPr>
        <w:t xml:space="preserve">Члан </w:t>
      </w:r>
      <w:r>
        <w:rPr>
          <w:lang w:val="sr-Cyrl-RS"/>
        </w:rPr>
        <w:t>58. Директиве 2014/24/ЕУ</w:t>
      </w:r>
    </w:p>
  </w:footnote>
  <w:footnote w:id="12">
    <w:p w:rsidR="007272DF" w:rsidRPr="00045E3F" w:rsidRDefault="007272DF">
      <w:pPr>
        <w:pStyle w:val="FootnoteText"/>
        <w:rPr>
          <w:lang w:val="sr-Cyrl-RS"/>
        </w:rPr>
      </w:pPr>
      <w:r>
        <w:rPr>
          <w:rStyle w:val="FootnoteReference"/>
        </w:rPr>
        <w:footnoteRef/>
      </w:r>
      <w:r>
        <w:t xml:space="preserve">  </w:t>
      </w:r>
      <w:r>
        <w:t>Стратегиј</w:t>
      </w:r>
      <w:r>
        <w:rPr>
          <w:lang w:val="sr-Cyrl-RS"/>
        </w:rPr>
        <w:t>а</w:t>
      </w:r>
      <w:r w:rsidRPr="0091666F">
        <w:t xml:space="preserve"> развоја јавних набавки у Републици Србији за период 2014-2018. </w:t>
      </w:r>
      <w:r>
        <w:rPr>
          <w:lang w:val="sr-Cyrl-RS"/>
        </w:rPr>
        <w:t>г</w:t>
      </w:r>
      <w:r w:rsidRPr="0091666F">
        <w:t>одине</w:t>
      </w:r>
      <w:r>
        <w:rPr>
          <w:lang w:val="sr-Cyrl-RS"/>
        </w:rPr>
        <w:t xml:space="preserve"> </w:t>
      </w:r>
      <w:hyperlink r:id="rId5" w:history="1">
        <w:r w:rsidRPr="00904F4D">
          <w:rPr>
            <w:rStyle w:val="Hyperlink"/>
          </w:rPr>
          <w:t>http://www.srbija.gov.rs/vesti/dokumenti_sekcija.php?id=45678</w:t>
        </w:r>
      </w:hyperlink>
    </w:p>
  </w:footnote>
  <w:footnote w:id="13">
    <w:p w:rsidR="00F02119" w:rsidRPr="00F02119" w:rsidRDefault="00F02119">
      <w:pPr>
        <w:pStyle w:val="FootnoteText"/>
        <w:rPr>
          <w:lang w:val="sr-Cyrl-RS"/>
        </w:rPr>
      </w:pPr>
      <w:r>
        <w:rPr>
          <w:rStyle w:val="FootnoteReference"/>
        </w:rPr>
        <w:footnoteRef/>
      </w:r>
      <w:r>
        <w:t xml:space="preserve"> </w:t>
      </w:r>
      <w:r>
        <w:rPr>
          <w:lang w:val="sr-Cyrl-RS"/>
        </w:rPr>
        <w:t xml:space="preserve">Адреса на којој је могу наћи контак подаци Управе за јавне набавке и Информатор о раду Управе </w:t>
      </w:r>
      <w:hyperlink r:id="rId6" w:history="1">
        <w:r w:rsidRPr="00B7300F">
          <w:rPr>
            <w:rStyle w:val="Hyperlink"/>
          </w:rPr>
          <w:t>http://www.ujn.gov.rs/ci/contact.html</w:t>
        </w:r>
      </w:hyperlink>
      <w:r>
        <w:rPr>
          <w:lang w:val="sr-Cyrl-RS"/>
        </w:rPr>
        <w:t xml:space="preserve"> и </w:t>
      </w:r>
      <w:hyperlink r:id="rId7" w:history="1">
        <w:r w:rsidRPr="00B7300F">
          <w:rPr>
            <w:rStyle w:val="Hyperlink"/>
            <w:lang w:val="sr-Cyrl-RS"/>
          </w:rPr>
          <w:t>http://www.ujn.gov.rs/ci/about/info_rad</w:t>
        </w:r>
      </w:hyperlink>
    </w:p>
  </w:footnote>
  <w:footnote w:id="14">
    <w:p w:rsidR="007272DF" w:rsidRPr="006E49A9" w:rsidRDefault="007272DF">
      <w:pPr>
        <w:pStyle w:val="FootnoteText"/>
        <w:rPr>
          <w:lang w:val="sr-Cyrl-RS"/>
        </w:rPr>
      </w:pPr>
      <w:r>
        <w:rPr>
          <w:rStyle w:val="FootnoteReference"/>
        </w:rPr>
        <w:footnoteRef/>
      </w:r>
      <w:r>
        <w:t xml:space="preserve"> </w:t>
      </w:r>
      <w:hyperlink r:id="rId8" w:history="1">
        <w:r w:rsidRPr="00AA15F0">
          <w:rPr>
            <w:rStyle w:val="Hyperlink"/>
          </w:rPr>
          <w:t>http://ec.europa.eu/internal_market/publicprocurement/docs/sme_code_of_best_practices_en.pdf</w:t>
        </w:r>
      </w:hyperlink>
    </w:p>
  </w:footnote>
  <w:footnote w:id="15">
    <w:p w:rsidR="007272DF" w:rsidRDefault="007272DF">
      <w:pPr>
        <w:pStyle w:val="FootnoteText"/>
        <w:rPr>
          <w:lang w:val="sr-Cyrl-RS"/>
        </w:rPr>
      </w:pPr>
      <w:r>
        <w:rPr>
          <w:rStyle w:val="FootnoteReference"/>
        </w:rPr>
        <w:footnoteRef/>
      </w:r>
      <w:r>
        <w:t xml:space="preserve"> </w:t>
      </w:r>
      <w:hyperlink r:id="rId9" w:history="1">
        <w:r w:rsidRPr="00AA15F0">
          <w:rPr>
            <w:rStyle w:val="Hyperlink"/>
          </w:rPr>
          <w:t>http://ec.europa.eu/internal_market/publicprocurement/docs/sme_code_of_best_practices_en.pdf</w:t>
        </w:r>
      </w:hyperlink>
    </w:p>
    <w:p w:rsidR="007272DF" w:rsidRPr="0056636F" w:rsidRDefault="007272DF">
      <w:pPr>
        <w:pStyle w:val="FootnoteText"/>
        <w:rPr>
          <w:lang w:val="sr-Cyrl-RS"/>
        </w:rPr>
      </w:pPr>
    </w:p>
  </w:footnote>
  <w:footnote w:id="16">
    <w:p w:rsidR="007272DF" w:rsidRDefault="007272DF">
      <w:pPr>
        <w:pStyle w:val="FootnoteText"/>
        <w:rPr>
          <w:lang w:val="sr-Cyrl-RS"/>
        </w:rPr>
      </w:pPr>
      <w:r>
        <w:rPr>
          <w:rStyle w:val="FootnoteReference"/>
        </w:rPr>
        <w:footnoteRef/>
      </w:r>
      <w:r>
        <w:t xml:space="preserve"> </w:t>
      </w:r>
      <w:r w:rsidRPr="009A74C8">
        <w:t xml:space="preserve">Стратегија </w:t>
      </w:r>
      <w:r w:rsidRPr="009A74C8">
        <w:t xml:space="preserve">развоја малих и средњих предузећа, предузетништва и конкурентности за период од 2015-2020. године </w:t>
      </w:r>
      <w:hyperlink r:id="rId10" w:history="1">
        <w:r w:rsidRPr="00904F4D">
          <w:rPr>
            <w:rStyle w:val="Hyperlink"/>
          </w:rPr>
          <w:t>http://www.srbija.gov.rs/vesti/dokumenti_sekcija.php?id=45678</w:t>
        </w:r>
      </w:hyperlink>
    </w:p>
    <w:p w:rsidR="007272DF" w:rsidRPr="009A74C8" w:rsidRDefault="007272DF">
      <w:pPr>
        <w:pStyle w:val="FootnoteText"/>
        <w:rPr>
          <w:lang w:val="sr-Cyrl-RS"/>
        </w:rPr>
      </w:pPr>
    </w:p>
  </w:footnote>
  <w:footnote w:id="17">
    <w:p w:rsidR="007272DF" w:rsidRPr="00887CE9" w:rsidRDefault="007272DF">
      <w:pPr>
        <w:pStyle w:val="FootnoteText"/>
        <w:rPr>
          <w:lang w:val="sr-Cyrl-RS"/>
        </w:rPr>
      </w:pPr>
      <w:r>
        <w:rPr>
          <w:rStyle w:val="FootnoteReference"/>
        </w:rPr>
        <w:footnoteRef/>
      </w:r>
      <w:r>
        <w:t xml:space="preserve"> </w:t>
      </w:r>
      <w:r>
        <w:rPr>
          <w:lang w:val="sr-Cyrl-RS"/>
        </w:rPr>
        <w:t>Члан 63. став 2. ЗЈН</w:t>
      </w:r>
    </w:p>
  </w:footnote>
  <w:footnote w:id="18">
    <w:p w:rsidR="007272DF" w:rsidRPr="00887CE9" w:rsidRDefault="007272DF">
      <w:pPr>
        <w:pStyle w:val="FootnoteText"/>
        <w:rPr>
          <w:lang w:val="sr-Cyrl-RS"/>
        </w:rPr>
      </w:pPr>
      <w:r>
        <w:rPr>
          <w:rStyle w:val="FootnoteReference"/>
        </w:rPr>
        <w:footnoteRef/>
      </w:r>
      <w:r>
        <w:t xml:space="preserve"> </w:t>
      </w:r>
      <w:r>
        <w:rPr>
          <w:lang w:val="sr-Cyrl-RS"/>
        </w:rPr>
        <w:t xml:space="preserve">Члан </w:t>
      </w:r>
      <w:r>
        <w:rPr>
          <w:lang w:val="sr-Cyrl-RS"/>
        </w:rPr>
        <w:t>63. став 3. ЗЈН</w:t>
      </w:r>
    </w:p>
  </w:footnote>
  <w:footnote w:id="19">
    <w:p w:rsidR="007272DF" w:rsidRPr="00887CE9" w:rsidRDefault="007272DF">
      <w:pPr>
        <w:pStyle w:val="FootnoteText"/>
        <w:rPr>
          <w:lang w:val="sr-Cyrl-RS"/>
        </w:rPr>
      </w:pPr>
      <w:r>
        <w:rPr>
          <w:rStyle w:val="FootnoteReference"/>
        </w:rPr>
        <w:footnoteRef/>
      </w:r>
      <w:r>
        <w:t xml:space="preserve"> </w:t>
      </w:r>
      <w:r>
        <w:rPr>
          <w:lang w:val="sr-Cyrl-RS"/>
        </w:rPr>
        <w:t xml:space="preserve">Члан </w:t>
      </w:r>
      <w:r>
        <w:rPr>
          <w:lang w:val="sr-Cyrl-RS"/>
        </w:rPr>
        <w:t>93. став 1. ЗЈН</w:t>
      </w:r>
    </w:p>
  </w:footnote>
  <w:footnote w:id="20">
    <w:p w:rsidR="007272DF" w:rsidRPr="00D2754E" w:rsidRDefault="007272DF">
      <w:pPr>
        <w:pStyle w:val="FootnoteText"/>
        <w:rPr>
          <w:lang w:val="sr-Cyrl-RS"/>
        </w:rPr>
      </w:pPr>
      <w:r>
        <w:rPr>
          <w:rStyle w:val="FootnoteReference"/>
        </w:rPr>
        <w:footnoteRef/>
      </w:r>
      <w:r>
        <w:t xml:space="preserve"> </w:t>
      </w:r>
      <w:r>
        <w:rPr>
          <w:lang w:val="sr-Cyrl-RS"/>
        </w:rPr>
        <w:t xml:space="preserve">Члан </w:t>
      </w:r>
      <w:r>
        <w:rPr>
          <w:lang w:val="sr-Cyrl-RS"/>
        </w:rPr>
        <w:t>111. став 1. ЗЈН</w:t>
      </w:r>
    </w:p>
  </w:footnote>
  <w:footnote w:id="21">
    <w:p w:rsidR="007272DF" w:rsidRPr="00D2754E" w:rsidRDefault="007272DF">
      <w:pPr>
        <w:pStyle w:val="FootnoteText"/>
        <w:rPr>
          <w:lang w:val="sr-Cyrl-RS"/>
        </w:rPr>
      </w:pPr>
      <w:r>
        <w:rPr>
          <w:rStyle w:val="FootnoteReference"/>
        </w:rPr>
        <w:footnoteRef/>
      </w:r>
      <w:r>
        <w:t xml:space="preserve"> </w:t>
      </w:r>
      <w:r>
        <w:rPr>
          <w:lang w:val="sr-Cyrl-RS"/>
        </w:rPr>
        <w:t xml:space="preserve">Члан </w:t>
      </w:r>
      <w:r>
        <w:rPr>
          <w:lang w:val="sr-Cyrl-RS"/>
        </w:rPr>
        <w:t>111. став 2. ЗЈН</w:t>
      </w:r>
    </w:p>
  </w:footnote>
  <w:footnote w:id="22">
    <w:p w:rsidR="004C0DBC" w:rsidRPr="00173DEB" w:rsidRDefault="004C0DBC" w:rsidP="004C0DBC">
      <w:pPr>
        <w:pStyle w:val="FootnoteText"/>
        <w:rPr>
          <w:lang w:val="sr-Cyrl-RS"/>
        </w:rPr>
      </w:pPr>
      <w:r>
        <w:rPr>
          <w:rStyle w:val="FootnoteReference"/>
        </w:rPr>
        <w:footnoteRef/>
      </w:r>
      <w:r>
        <w:t xml:space="preserve"> </w:t>
      </w:r>
      <w:hyperlink r:id="rId11" w:history="1">
        <w:r w:rsidRPr="00B7300F">
          <w:rPr>
            <w:rStyle w:val="Hyperlink"/>
          </w:rPr>
          <w:t>http://www.ujn.gov.rs/ci.html</w:t>
        </w:r>
      </w:hyperlink>
    </w:p>
  </w:footnote>
  <w:footnote w:id="23">
    <w:p w:rsidR="007272DF" w:rsidRPr="00DC6EFF" w:rsidRDefault="007272DF">
      <w:pPr>
        <w:pStyle w:val="FootnoteText"/>
        <w:rPr>
          <w:lang w:val="sr-Cyrl-RS"/>
        </w:rPr>
      </w:pPr>
      <w:r>
        <w:rPr>
          <w:rStyle w:val="FootnoteReference"/>
        </w:rPr>
        <w:footnoteRef/>
      </w:r>
      <w:r>
        <w:t xml:space="preserve"> </w:t>
      </w:r>
      <w:r>
        <w:rPr>
          <w:lang w:val="sr-Cyrl-RS"/>
        </w:rPr>
        <w:t>Члан 97. ЗЈН</w:t>
      </w:r>
    </w:p>
  </w:footnote>
  <w:footnote w:id="24">
    <w:p w:rsidR="007272DF" w:rsidRPr="007D3E91" w:rsidRDefault="007272DF">
      <w:pPr>
        <w:pStyle w:val="FootnoteText"/>
        <w:rPr>
          <w:lang w:val="sr-Cyrl-RS"/>
        </w:rPr>
      </w:pPr>
      <w:r>
        <w:rPr>
          <w:rStyle w:val="FootnoteReference"/>
        </w:rPr>
        <w:footnoteRef/>
      </w:r>
      <w:r>
        <w:t xml:space="preserve"> </w:t>
      </w:r>
      <w:r>
        <w:rPr>
          <w:lang w:val="sr-Cyrl-RS"/>
        </w:rPr>
        <w:t xml:space="preserve">Члан </w:t>
      </w:r>
      <w:r>
        <w:rPr>
          <w:lang w:val="sr-Cyrl-RS"/>
        </w:rPr>
        <w:t>48. Директиве 2014/24/ЕУ</w:t>
      </w:r>
    </w:p>
  </w:footnote>
  <w:footnote w:id="25">
    <w:p w:rsidR="007272DF" w:rsidRDefault="007272DF" w:rsidP="00FA3897">
      <w:pPr>
        <w:pStyle w:val="FootnoteText"/>
        <w:rPr>
          <w:lang w:val="sr-Cyrl-RS"/>
        </w:rPr>
      </w:pPr>
      <w:r>
        <w:rPr>
          <w:rStyle w:val="FootnoteReference"/>
        </w:rPr>
        <w:footnoteRef/>
      </w:r>
      <w:hyperlink r:id="rId12" w:history="1">
        <w:r w:rsidRPr="00904F4D">
          <w:rPr>
            <w:rStyle w:val="Hyperlink"/>
          </w:rPr>
          <w:t>http://webarchive.nationalarchives.gov.uk/20110822131357/http:/www.ogc.gov.uk/documents/CP0083_Small_supplier_better_value.pdf</w:t>
        </w:r>
      </w:hyperlink>
    </w:p>
    <w:p w:rsidR="007272DF" w:rsidRPr="004E3FA8" w:rsidRDefault="007272DF">
      <w:pPr>
        <w:pStyle w:val="FootnoteText"/>
        <w:rPr>
          <w:lang w:val="sr-Cyrl-RS"/>
        </w:rPr>
      </w:pPr>
    </w:p>
  </w:footnote>
  <w:footnote w:id="26">
    <w:p w:rsidR="007272DF" w:rsidRPr="00FA3897" w:rsidRDefault="007272DF">
      <w:pPr>
        <w:pStyle w:val="FootnoteText"/>
        <w:rPr>
          <w:lang w:val="sr-Cyrl-RS"/>
        </w:rPr>
      </w:pPr>
      <w:r>
        <w:rPr>
          <w:rStyle w:val="FootnoteReference"/>
        </w:rPr>
        <w:footnoteRef/>
      </w:r>
      <w:r>
        <w:t xml:space="preserve"> </w:t>
      </w:r>
      <w:hyperlink r:id="rId13" w:history="1">
        <w:r w:rsidRPr="00904F4D">
          <w:rPr>
            <w:rStyle w:val="Hyperlink"/>
          </w:rPr>
          <w:t>https://www.pianoo.nl/about-pianoo</w:t>
        </w:r>
      </w:hyperlink>
    </w:p>
  </w:footnote>
  <w:footnote w:id="27">
    <w:p w:rsidR="007272DF" w:rsidRPr="00FA3897" w:rsidRDefault="007272DF">
      <w:pPr>
        <w:pStyle w:val="FootnoteText"/>
        <w:rPr>
          <w:lang w:val="sr-Cyrl-RS"/>
        </w:rPr>
      </w:pPr>
      <w:r>
        <w:rPr>
          <w:rStyle w:val="FootnoteReference"/>
        </w:rPr>
        <w:footnoteRef/>
      </w:r>
      <w:r>
        <w:t xml:space="preserve"> </w:t>
      </w:r>
      <w:hyperlink r:id="rId14" w:history="1">
        <w:r w:rsidRPr="00904F4D">
          <w:rPr>
            <w:rStyle w:val="Hyperlink"/>
          </w:rPr>
          <w:t>http://www.secteurpublic.asso.fr/Club-Secteur-Public/Les-travaux/Guide-pratique-pour-la-reponse-des-PME-a-la-commande-publique</w:t>
        </w:r>
      </w:hyperlink>
    </w:p>
  </w:footnote>
  <w:footnote w:id="28">
    <w:p w:rsidR="007272DF" w:rsidRDefault="007272DF">
      <w:pPr>
        <w:pStyle w:val="FootnoteText"/>
        <w:rPr>
          <w:lang w:val="sr-Cyrl-RS"/>
        </w:rPr>
      </w:pPr>
      <w:r>
        <w:rPr>
          <w:rStyle w:val="FootnoteReference"/>
        </w:rPr>
        <w:footnoteRef/>
      </w:r>
      <w:r>
        <w:t xml:space="preserve"> </w:t>
      </w:r>
      <w:hyperlink r:id="rId15" w:history="1">
        <w:r w:rsidRPr="00904F4D">
          <w:rPr>
            <w:rStyle w:val="Hyperlink"/>
          </w:rPr>
          <w:t>http://ec.europa.eu/small-business/index_en.htm</w:t>
        </w:r>
      </w:hyperlink>
    </w:p>
    <w:p w:rsidR="007272DF" w:rsidRPr="0019256B" w:rsidRDefault="007272DF">
      <w:pPr>
        <w:pStyle w:val="FootnoteText"/>
        <w:rPr>
          <w:lang w:val="sr-Cyrl-RS"/>
        </w:rPr>
      </w:pPr>
    </w:p>
  </w:footnote>
  <w:footnote w:id="29">
    <w:p w:rsidR="007272DF" w:rsidRPr="00CD7E1F" w:rsidRDefault="007272DF">
      <w:pPr>
        <w:pStyle w:val="FootnoteText"/>
        <w:rPr>
          <w:lang w:val="sr-Cyrl-RS"/>
        </w:rPr>
      </w:pPr>
      <w:r>
        <w:rPr>
          <w:rStyle w:val="FootnoteReference"/>
        </w:rPr>
        <w:footnoteRef/>
      </w:r>
      <w:r>
        <w:t xml:space="preserve"> </w:t>
      </w:r>
      <w:r>
        <w:rPr>
          <w:lang w:val="sr-Cyrl-RS"/>
        </w:rPr>
        <w:t>Члан 67. Директиве 2014/24/ЕУ</w:t>
      </w:r>
    </w:p>
  </w:footnote>
  <w:footnote w:id="30">
    <w:p w:rsidR="007272DF" w:rsidRPr="00CD7E1F" w:rsidRDefault="007272DF">
      <w:pPr>
        <w:pStyle w:val="FootnoteText"/>
        <w:rPr>
          <w:lang w:val="sr-Cyrl-RS"/>
        </w:rPr>
      </w:pPr>
      <w:r>
        <w:rPr>
          <w:rStyle w:val="FootnoteReference"/>
        </w:rPr>
        <w:footnoteRef/>
      </w:r>
      <w:r>
        <w:t xml:space="preserve"> </w:t>
      </w:r>
      <w:r w:rsidRPr="00CD7E1F">
        <w:t>Члан 67. Директиве 2014/24/ЕУ</w:t>
      </w:r>
    </w:p>
  </w:footnote>
  <w:footnote w:id="31">
    <w:p w:rsidR="007272DF" w:rsidRPr="00CD7E1F" w:rsidRDefault="007272DF">
      <w:pPr>
        <w:pStyle w:val="FootnoteText"/>
        <w:rPr>
          <w:lang w:val="sr-Cyrl-RS"/>
        </w:rPr>
      </w:pPr>
      <w:r>
        <w:rPr>
          <w:rStyle w:val="FootnoteReference"/>
        </w:rPr>
        <w:footnoteRef/>
      </w:r>
      <w:r>
        <w:t xml:space="preserve"> </w:t>
      </w:r>
      <w:r>
        <w:rPr>
          <w:lang w:val="sr-Cyrl-RS"/>
        </w:rPr>
        <w:t>Члан 85. ЗЈН</w:t>
      </w:r>
    </w:p>
  </w:footnote>
  <w:footnote w:id="32">
    <w:p w:rsidR="007272DF" w:rsidRDefault="007272DF" w:rsidP="00B040EE">
      <w:pPr>
        <w:pStyle w:val="FootnoteText"/>
        <w:jc w:val="both"/>
        <w:rPr>
          <w:lang w:val="sr-Cyrl-RS"/>
        </w:rPr>
      </w:pPr>
      <w:r>
        <w:rPr>
          <w:rStyle w:val="FootnoteReference"/>
        </w:rPr>
        <w:footnoteRef/>
      </w:r>
      <w:r>
        <w:t xml:space="preserve"> </w:t>
      </w:r>
      <w:r>
        <w:rPr>
          <w:lang w:val="sr-Cyrl-RS"/>
        </w:rPr>
        <w:t>Подаци</w:t>
      </w:r>
      <w:r w:rsidR="00B040EE">
        <w:rPr>
          <w:lang w:val="sr-Cyrl-RS"/>
        </w:rPr>
        <w:t xml:space="preserve"> </w:t>
      </w:r>
      <w:r w:rsidR="00B040EE">
        <w:rPr>
          <w:lang w:val="sr-Cyrl-RS"/>
        </w:rPr>
        <w:t>из Извештаја Управе за јавне набавке за 2015.</w:t>
      </w:r>
      <w:r w:rsidR="00B040EE">
        <w:t xml:space="preserve"> </w:t>
      </w:r>
      <w:r w:rsidR="00B040EE">
        <w:rPr>
          <w:lang w:val="sr-Cyrl-RS"/>
        </w:rPr>
        <w:t>годину</w:t>
      </w:r>
      <w:r w:rsidR="00B040EE">
        <w:t xml:space="preserve"> </w:t>
      </w:r>
    </w:p>
    <w:p w:rsidR="00B040EE" w:rsidRPr="00B040EE" w:rsidRDefault="00B040EE" w:rsidP="00B040EE">
      <w:pPr>
        <w:pStyle w:val="FootnoteText"/>
        <w:jc w:val="both"/>
        <w:rPr>
          <w:lang w:val="sr-Cyrl-RS"/>
        </w:rPr>
      </w:pPr>
      <w:r w:rsidRPr="00B040EE">
        <w:rPr>
          <w:lang w:val="sr-Cyrl-RS"/>
        </w:rPr>
        <w:t>http://www.ujn.gov.rs/ci/izvestaji/izvestaji_ujn</w:t>
      </w:r>
    </w:p>
  </w:footnote>
  <w:footnote w:id="33">
    <w:p w:rsidR="007272DF" w:rsidRPr="003D6FE0" w:rsidRDefault="007272DF">
      <w:pPr>
        <w:pStyle w:val="FootnoteText"/>
        <w:rPr>
          <w:lang w:val="sr-Cyrl-RS"/>
        </w:rPr>
      </w:pPr>
      <w:r>
        <w:rPr>
          <w:rStyle w:val="FootnoteReference"/>
        </w:rPr>
        <w:footnoteRef/>
      </w:r>
      <w:r>
        <w:t xml:space="preserve"> </w:t>
      </w:r>
      <w:r>
        <w:rPr>
          <w:lang w:val="sr-Cyrl-RS"/>
        </w:rPr>
        <w:t xml:space="preserve">Члан </w:t>
      </w:r>
      <w:r>
        <w:rPr>
          <w:lang w:val="sr-Cyrl-RS"/>
        </w:rPr>
        <w:t>77. став 4. ЗЈН</w:t>
      </w:r>
    </w:p>
  </w:footnote>
  <w:footnote w:id="34">
    <w:p w:rsidR="00A36A34" w:rsidRPr="00A36A34" w:rsidRDefault="00A36A34">
      <w:pPr>
        <w:pStyle w:val="FootnoteText"/>
        <w:rPr>
          <w:lang w:val="sr-Cyrl-RS"/>
        </w:rPr>
      </w:pPr>
      <w:r>
        <w:rPr>
          <w:rStyle w:val="FootnoteReference"/>
        </w:rPr>
        <w:footnoteRef/>
      </w:r>
      <w:r>
        <w:t xml:space="preserve"> </w:t>
      </w:r>
      <w:r>
        <w:rPr>
          <w:lang w:val="sr-Cyrl-RS"/>
        </w:rPr>
        <w:t xml:space="preserve">Члан </w:t>
      </w:r>
      <w:r>
        <w:rPr>
          <w:lang w:val="sr-Cyrl-RS"/>
        </w:rPr>
        <w:t>79. став 2. ЗЈН</w:t>
      </w:r>
    </w:p>
  </w:footnote>
  <w:footnote w:id="35">
    <w:p w:rsidR="00A36A34" w:rsidRPr="00A36A34" w:rsidRDefault="00A36A34">
      <w:pPr>
        <w:pStyle w:val="FootnoteText"/>
        <w:rPr>
          <w:lang w:val="sr-Cyrl-RS"/>
        </w:rPr>
      </w:pPr>
      <w:r>
        <w:rPr>
          <w:rStyle w:val="FootnoteReference"/>
        </w:rPr>
        <w:footnoteRef/>
      </w:r>
      <w:r>
        <w:t xml:space="preserve"> </w:t>
      </w:r>
      <w:r>
        <w:rPr>
          <w:lang w:val="sr-Cyrl-RS"/>
        </w:rPr>
        <w:t xml:space="preserve">Члан </w:t>
      </w:r>
      <w:r>
        <w:rPr>
          <w:lang w:val="sr-Cyrl-RS"/>
        </w:rPr>
        <w:t>79. став 3. ЗЈН</w:t>
      </w:r>
    </w:p>
  </w:footnote>
  <w:footnote w:id="36">
    <w:p w:rsidR="007272DF" w:rsidRPr="002A1F65" w:rsidRDefault="007272DF">
      <w:pPr>
        <w:pStyle w:val="FootnoteText"/>
        <w:rPr>
          <w:lang w:val="sr-Cyrl-RS"/>
        </w:rPr>
      </w:pPr>
      <w:r>
        <w:rPr>
          <w:rStyle w:val="FootnoteReference"/>
        </w:rPr>
        <w:footnoteRef/>
      </w:r>
      <w:r>
        <w:t xml:space="preserve"> </w:t>
      </w:r>
      <w:r>
        <w:rPr>
          <w:lang w:val="sr-Cyrl-RS"/>
        </w:rPr>
        <w:t xml:space="preserve">Члан </w:t>
      </w:r>
      <w:r>
        <w:rPr>
          <w:lang w:val="sr-Cyrl-RS"/>
        </w:rPr>
        <w:t>78. ЗЈН</w:t>
      </w:r>
    </w:p>
  </w:footnote>
  <w:footnote w:id="37">
    <w:p w:rsidR="00646A3D" w:rsidRDefault="00646A3D">
      <w:pPr>
        <w:pStyle w:val="FootnoteText"/>
        <w:rPr>
          <w:lang w:val="sr-Cyrl-RS"/>
        </w:rPr>
      </w:pPr>
      <w:r>
        <w:rPr>
          <w:rStyle w:val="FootnoteReference"/>
        </w:rPr>
        <w:footnoteRef/>
      </w:r>
      <w:hyperlink r:id="rId16" w:history="1">
        <w:r w:rsidRPr="00B7300F">
          <w:rPr>
            <w:rStyle w:val="Hyperlink"/>
          </w:rPr>
          <w:t>http://www.apr.gov.rs/%D0%A0%D0%B5%D0%B3%D0%B8%D1%81%D1%82%D1%80%D0%B8/%D0%9F%D0%BE%D0%BD%D1%83%D1%92%D0%B0%D1%87%D0%B8.aspx</w:t>
        </w:r>
      </w:hyperlink>
    </w:p>
    <w:p w:rsidR="00646A3D" w:rsidRPr="00646A3D" w:rsidRDefault="00646A3D">
      <w:pPr>
        <w:pStyle w:val="FootnoteText"/>
        <w:rPr>
          <w:lang w:val="sr-Cyrl-RS"/>
        </w:rPr>
      </w:pPr>
    </w:p>
  </w:footnote>
  <w:footnote w:id="38">
    <w:p w:rsidR="007272DF" w:rsidRPr="002A1F65" w:rsidRDefault="007272DF">
      <w:pPr>
        <w:pStyle w:val="FootnoteText"/>
        <w:rPr>
          <w:lang w:val="sr-Cyrl-RS"/>
        </w:rPr>
      </w:pPr>
      <w:r>
        <w:rPr>
          <w:rStyle w:val="FootnoteReference"/>
        </w:rPr>
        <w:footnoteRef/>
      </w:r>
      <w:r>
        <w:t xml:space="preserve"> </w:t>
      </w:r>
      <w:r>
        <w:rPr>
          <w:lang w:val="sr-Cyrl-RS"/>
        </w:rPr>
        <w:t>Члан 59</w:t>
      </w:r>
      <w:r w:rsidR="004F5D54">
        <w:rPr>
          <w:lang w:val="sr-Cyrl-RS"/>
        </w:rPr>
        <w:t>.</w:t>
      </w:r>
      <w:r>
        <w:rPr>
          <w:lang w:val="sr-Cyrl-RS"/>
        </w:rPr>
        <w:t xml:space="preserve"> Директиве 2014/24/ЕУ</w:t>
      </w:r>
    </w:p>
  </w:footnote>
  <w:footnote w:id="39">
    <w:p w:rsidR="007272DF" w:rsidRPr="003715C3" w:rsidRDefault="007272DF">
      <w:pPr>
        <w:pStyle w:val="FootnoteText"/>
        <w:rPr>
          <w:lang w:val="sr-Cyrl-RS"/>
        </w:rPr>
      </w:pPr>
      <w:r>
        <w:rPr>
          <w:rStyle w:val="FootnoteReference"/>
        </w:rPr>
        <w:footnoteRef/>
      </w:r>
      <w:r>
        <w:t xml:space="preserve"> </w:t>
      </w:r>
      <w:r>
        <w:rPr>
          <w:lang w:val="sr-Cyrl-RS"/>
        </w:rPr>
        <w:t xml:space="preserve">Члан </w:t>
      </w:r>
      <w:r>
        <w:rPr>
          <w:lang w:val="sr-Cyrl-RS"/>
        </w:rPr>
        <w:t>4. став 1. Закона о  роковима измирења новчаних обавеза у комерцијалним трансакцијама</w:t>
      </w:r>
    </w:p>
  </w:footnote>
  <w:footnote w:id="40">
    <w:p w:rsidR="007272DF" w:rsidRPr="003715C3" w:rsidRDefault="007272DF">
      <w:pPr>
        <w:pStyle w:val="FootnoteText"/>
        <w:rPr>
          <w:lang w:val="sr-Cyrl-RS"/>
        </w:rPr>
      </w:pPr>
      <w:r>
        <w:rPr>
          <w:rStyle w:val="FootnoteReference"/>
        </w:rPr>
        <w:footnoteRef/>
      </w:r>
      <w:r>
        <w:t xml:space="preserve"> </w:t>
      </w:r>
      <w:r>
        <w:t xml:space="preserve">Члан 4. став </w:t>
      </w:r>
      <w:r>
        <w:rPr>
          <w:lang w:val="sr-Cyrl-RS"/>
        </w:rPr>
        <w:t>2</w:t>
      </w:r>
      <w:r>
        <w:t xml:space="preserve">. Закона о  роковима </w:t>
      </w:r>
      <w:r w:rsidRPr="003715C3">
        <w:t>измирења новчаних обавеза у комерцијалним трансакцијама</w:t>
      </w:r>
    </w:p>
  </w:footnote>
  <w:footnote w:id="41">
    <w:p w:rsidR="007272DF" w:rsidRPr="003715C3" w:rsidRDefault="007272DF">
      <w:pPr>
        <w:pStyle w:val="FootnoteText"/>
        <w:rPr>
          <w:lang w:val="sr-Cyrl-RS"/>
        </w:rPr>
      </w:pPr>
      <w:r>
        <w:rPr>
          <w:rStyle w:val="FootnoteReference"/>
        </w:rPr>
        <w:footnoteRef/>
      </w:r>
      <w:r>
        <w:t xml:space="preserve"> </w:t>
      </w:r>
      <w:r>
        <w:rPr>
          <w:lang w:val="sr-Cyrl-RS"/>
        </w:rPr>
        <w:t>Члан 5. став 1. Закона о  роковима и</w:t>
      </w:r>
      <w:r w:rsidRPr="003715C3">
        <w:rPr>
          <w:lang w:val="sr-Cyrl-RS"/>
        </w:rPr>
        <w:t>змирења новчаних обавеза у комерцијалним трансакцијама</w:t>
      </w:r>
    </w:p>
  </w:footnote>
  <w:footnote w:id="42">
    <w:p w:rsidR="007272DF" w:rsidRPr="003715C3" w:rsidRDefault="007272DF">
      <w:pPr>
        <w:pStyle w:val="FootnoteText"/>
        <w:rPr>
          <w:lang w:val="sr-Cyrl-RS"/>
        </w:rPr>
      </w:pPr>
      <w:r>
        <w:rPr>
          <w:rStyle w:val="FootnoteReference"/>
        </w:rPr>
        <w:footnoteRef/>
      </w:r>
      <w:r>
        <w:t xml:space="preserve"> </w:t>
      </w:r>
      <w:r>
        <w:t xml:space="preserve">Члан </w:t>
      </w:r>
      <w:r>
        <w:rPr>
          <w:lang w:val="sr-Cyrl-RS"/>
        </w:rPr>
        <w:t>7</w:t>
      </w:r>
      <w:r>
        <w:t xml:space="preserve">. став </w:t>
      </w:r>
      <w:r>
        <w:rPr>
          <w:lang w:val="sr-Cyrl-RS"/>
        </w:rPr>
        <w:t>1</w:t>
      </w:r>
      <w:r w:rsidRPr="003715C3">
        <w:t xml:space="preserve">. </w:t>
      </w:r>
      <w:r>
        <w:t>Закона о  роковима и</w:t>
      </w:r>
      <w:r w:rsidRPr="003715C3">
        <w:t>змирења новчаних обавеза у комерцијалним трансакцијама</w:t>
      </w:r>
    </w:p>
  </w:footnote>
  <w:footnote w:id="43">
    <w:p w:rsidR="007272DF" w:rsidRPr="003715C3" w:rsidRDefault="007272DF">
      <w:pPr>
        <w:pStyle w:val="FootnoteText"/>
        <w:rPr>
          <w:lang w:val="sr-Cyrl-RS"/>
        </w:rPr>
      </w:pPr>
      <w:r>
        <w:rPr>
          <w:rStyle w:val="FootnoteReference"/>
        </w:rPr>
        <w:footnoteRef/>
      </w:r>
      <w:r>
        <w:t xml:space="preserve"> </w:t>
      </w:r>
      <w:r>
        <w:t xml:space="preserve">Члан </w:t>
      </w:r>
      <w:r>
        <w:rPr>
          <w:lang w:val="sr-Cyrl-RS"/>
        </w:rPr>
        <w:t>7</w:t>
      </w:r>
      <w:r>
        <w:t>. став 2. Закона о роковима и</w:t>
      </w:r>
      <w:r w:rsidRPr="003715C3">
        <w:t>змирења новчаних обавеза у комерцијалним трансакцијама</w:t>
      </w:r>
    </w:p>
  </w:footnote>
  <w:footnote w:id="44">
    <w:p w:rsidR="007272DF" w:rsidRPr="003715C3" w:rsidRDefault="007272DF">
      <w:pPr>
        <w:pStyle w:val="FootnoteText"/>
        <w:rPr>
          <w:lang w:val="sr-Cyrl-RS"/>
        </w:rPr>
      </w:pPr>
      <w:r>
        <w:rPr>
          <w:rStyle w:val="FootnoteReference"/>
        </w:rPr>
        <w:footnoteRef/>
      </w:r>
      <w:r>
        <w:t xml:space="preserve"> </w:t>
      </w:r>
      <w:r w:rsidRPr="003715C3">
        <w:t xml:space="preserve">Члан </w:t>
      </w:r>
      <w:r>
        <w:rPr>
          <w:lang w:val="sr-Cyrl-RS"/>
        </w:rPr>
        <w:t>7</w:t>
      </w:r>
      <w:r>
        <w:t xml:space="preserve">. став </w:t>
      </w:r>
      <w:r>
        <w:rPr>
          <w:lang w:val="sr-Cyrl-RS"/>
        </w:rPr>
        <w:t>3</w:t>
      </w:r>
      <w:r>
        <w:t>. Закона о  роковима и</w:t>
      </w:r>
      <w:r w:rsidRPr="003715C3">
        <w:t>змирења новчаних обавеза у комерцијалним трансакцијама</w:t>
      </w:r>
    </w:p>
  </w:footnote>
  <w:footnote w:id="45">
    <w:p w:rsidR="007272DF" w:rsidRPr="003715C3" w:rsidRDefault="007272DF">
      <w:pPr>
        <w:pStyle w:val="FootnoteText"/>
        <w:rPr>
          <w:lang w:val="sr-Cyrl-RS"/>
        </w:rPr>
      </w:pPr>
      <w:r>
        <w:rPr>
          <w:rStyle w:val="FootnoteReference"/>
        </w:rPr>
        <w:footnoteRef/>
      </w:r>
      <w:r>
        <w:t xml:space="preserve"> </w:t>
      </w:r>
      <w:r w:rsidRPr="003715C3">
        <w:t xml:space="preserve">Члан </w:t>
      </w:r>
      <w:r>
        <w:rPr>
          <w:lang w:val="sr-Cyrl-RS"/>
        </w:rPr>
        <w:t>12</w:t>
      </w:r>
      <w:r>
        <w:t xml:space="preserve">. став </w:t>
      </w:r>
      <w:r>
        <w:rPr>
          <w:lang w:val="sr-Cyrl-RS"/>
        </w:rPr>
        <w:t>1</w:t>
      </w:r>
      <w:r>
        <w:t>. Закона о  роковима и</w:t>
      </w:r>
      <w:r>
        <w:rPr>
          <w:lang w:val="sr-Cyrl-RS"/>
        </w:rPr>
        <w:t>з</w:t>
      </w:r>
      <w:r w:rsidRPr="003715C3">
        <w:t>мирења новчаних обавеза у комерцијалним трансакцијама</w:t>
      </w:r>
    </w:p>
  </w:footnote>
  <w:footnote w:id="46">
    <w:p w:rsidR="007272DF" w:rsidRPr="003715C3" w:rsidRDefault="007272DF">
      <w:pPr>
        <w:pStyle w:val="FootnoteText"/>
        <w:rPr>
          <w:lang w:val="sr-Cyrl-RS"/>
        </w:rPr>
      </w:pPr>
      <w:r>
        <w:rPr>
          <w:rStyle w:val="FootnoteReference"/>
        </w:rPr>
        <w:footnoteRef/>
      </w:r>
      <w:r>
        <w:t xml:space="preserve"> </w:t>
      </w:r>
      <w:r>
        <w:t xml:space="preserve">Члан </w:t>
      </w:r>
      <w:r>
        <w:rPr>
          <w:lang w:val="sr-Cyrl-RS"/>
        </w:rPr>
        <w:t>12</w:t>
      </w:r>
      <w:r>
        <w:t xml:space="preserve">. став </w:t>
      </w:r>
      <w:r>
        <w:rPr>
          <w:lang w:val="sr-Cyrl-RS"/>
        </w:rPr>
        <w:t>4</w:t>
      </w:r>
      <w:r>
        <w:t xml:space="preserve">. Закона о  роковима </w:t>
      </w:r>
      <w:r w:rsidRPr="003715C3">
        <w:t>измирења новчаних обавеза у комерцијалним трансакцијама</w:t>
      </w:r>
    </w:p>
  </w:footnote>
  <w:footnote w:id="47">
    <w:p w:rsidR="007272DF" w:rsidRPr="00467BF1" w:rsidRDefault="007272DF">
      <w:pPr>
        <w:pStyle w:val="FootnoteText"/>
        <w:rPr>
          <w:lang w:val="sr-Cyrl-RS"/>
        </w:rPr>
      </w:pPr>
      <w:r>
        <w:rPr>
          <w:rStyle w:val="FootnoteReference"/>
        </w:rPr>
        <w:footnoteRef/>
      </w:r>
      <w:r>
        <w:t xml:space="preserve"> </w:t>
      </w:r>
      <w:r>
        <w:rPr>
          <w:lang w:val="sr-Cyrl-RS"/>
        </w:rPr>
        <w:t>Директива 2011/7/ЕУ</w:t>
      </w:r>
    </w:p>
  </w:footnote>
  <w:footnote w:id="48">
    <w:p w:rsidR="007272DF" w:rsidRDefault="007272DF">
      <w:pPr>
        <w:pStyle w:val="FootnoteText"/>
        <w:rPr>
          <w:lang w:val="sr-Cyrl-RS"/>
        </w:rPr>
      </w:pPr>
      <w:r>
        <w:rPr>
          <w:rStyle w:val="FootnoteReference"/>
        </w:rPr>
        <w:footnoteRef/>
      </w:r>
      <w:r w:rsidR="004E6FB7">
        <w:rPr>
          <w:lang w:val="sr-Cyrl-RS"/>
        </w:rPr>
        <w:t xml:space="preserve"> </w:t>
      </w:r>
      <w:hyperlink r:id="rId17" w:history="1">
        <w:r w:rsidR="004E6FB7" w:rsidRPr="003251E2">
          <w:rPr>
            <w:rStyle w:val="Hyperlink"/>
          </w:rPr>
          <w:t>http://ec.europa.eu/growth/smes/support/late-payment/campaign/index_en.htm</w:t>
        </w:r>
      </w:hyperlink>
    </w:p>
    <w:p w:rsidR="004E6FB7" w:rsidRPr="004E6FB7" w:rsidRDefault="004E6FB7">
      <w:pPr>
        <w:pStyle w:val="FootnoteText"/>
        <w:rPr>
          <w:lang w:val="sr-Cyrl-RS"/>
        </w:rPr>
      </w:pPr>
    </w:p>
    <w:p w:rsidR="007272DF" w:rsidRPr="00906A32" w:rsidRDefault="007272DF">
      <w:pPr>
        <w:pStyle w:val="FootnoteText"/>
        <w:rPr>
          <w:lang w:val="sr-Cyrl-RS"/>
        </w:rPr>
      </w:pPr>
    </w:p>
    <w:p w:rsidR="007272DF" w:rsidRPr="00467BF1" w:rsidRDefault="007272DF">
      <w:pPr>
        <w:pStyle w:val="FootnoteText"/>
        <w:rPr>
          <w:lang w:val="sr-Cyrl-RS"/>
        </w:rPr>
      </w:pPr>
    </w:p>
    <w:p w:rsidR="007272DF" w:rsidRPr="00467BF1" w:rsidRDefault="007272DF">
      <w:pPr>
        <w:pStyle w:val="FootnoteText"/>
        <w:rPr>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0EE7"/>
    <w:multiLevelType w:val="hybridMultilevel"/>
    <w:tmpl w:val="E21625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31C3F87"/>
    <w:multiLevelType w:val="hybridMultilevel"/>
    <w:tmpl w:val="BB04FA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261D5AD3"/>
    <w:multiLevelType w:val="hybridMultilevel"/>
    <w:tmpl w:val="0082BF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4DF7DB2"/>
    <w:multiLevelType w:val="hybridMultilevel"/>
    <w:tmpl w:val="E3746C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6D3F50FD"/>
    <w:multiLevelType w:val="hybridMultilevel"/>
    <w:tmpl w:val="6CF0BA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12E14"/>
    <w:rsid w:val="0004160C"/>
    <w:rsid w:val="00042C16"/>
    <w:rsid w:val="00045E3F"/>
    <w:rsid w:val="00050047"/>
    <w:rsid w:val="000505DF"/>
    <w:rsid w:val="00050FD8"/>
    <w:rsid w:val="00051EFD"/>
    <w:rsid w:val="00052B11"/>
    <w:rsid w:val="000640A5"/>
    <w:rsid w:val="0007450C"/>
    <w:rsid w:val="00093A43"/>
    <w:rsid w:val="00097FFD"/>
    <w:rsid w:val="000A0DEC"/>
    <w:rsid w:val="000C354F"/>
    <w:rsid w:val="000C6DF9"/>
    <w:rsid w:val="000D066E"/>
    <w:rsid w:val="000D5691"/>
    <w:rsid w:val="0010467D"/>
    <w:rsid w:val="0010587E"/>
    <w:rsid w:val="00110A04"/>
    <w:rsid w:val="001256E0"/>
    <w:rsid w:val="001554A9"/>
    <w:rsid w:val="001673D4"/>
    <w:rsid w:val="00173DEB"/>
    <w:rsid w:val="00184727"/>
    <w:rsid w:val="0019256B"/>
    <w:rsid w:val="001A14C0"/>
    <w:rsid w:val="001A3F3D"/>
    <w:rsid w:val="001B2E18"/>
    <w:rsid w:val="001D18FE"/>
    <w:rsid w:val="001D3AB4"/>
    <w:rsid w:val="001D7879"/>
    <w:rsid w:val="001E0953"/>
    <w:rsid w:val="001F3E6B"/>
    <w:rsid w:val="001F7E46"/>
    <w:rsid w:val="0020033E"/>
    <w:rsid w:val="00201EDB"/>
    <w:rsid w:val="002201D3"/>
    <w:rsid w:val="002278D4"/>
    <w:rsid w:val="00244CE0"/>
    <w:rsid w:val="00250627"/>
    <w:rsid w:val="00271B00"/>
    <w:rsid w:val="00275366"/>
    <w:rsid w:val="00295019"/>
    <w:rsid w:val="002A1F65"/>
    <w:rsid w:val="002C2062"/>
    <w:rsid w:val="002C797B"/>
    <w:rsid w:val="002D2EE0"/>
    <w:rsid w:val="002D7A74"/>
    <w:rsid w:val="00303778"/>
    <w:rsid w:val="003077AB"/>
    <w:rsid w:val="0031557B"/>
    <w:rsid w:val="003252B5"/>
    <w:rsid w:val="00340E60"/>
    <w:rsid w:val="00341340"/>
    <w:rsid w:val="00346598"/>
    <w:rsid w:val="003715C3"/>
    <w:rsid w:val="00394F20"/>
    <w:rsid w:val="003A3FB2"/>
    <w:rsid w:val="003B2183"/>
    <w:rsid w:val="003D43F2"/>
    <w:rsid w:val="003D6FE0"/>
    <w:rsid w:val="004038B6"/>
    <w:rsid w:val="00406545"/>
    <w:rsid w:val="0040763D"/>
    <w:rsid w:val="004123E9"/>
    <w:rsid w:val="0041612B"/>
    <w:rsid w:val="00441B22"/>
    <w:rsid w:val="00467BF1"/>
    <w:rsid w:val="00475243"/>
    <w:rsid w:val="004952C5"/>
    <w:rsid w:val="004A36FE"/>
    <w:rsid w:val="004A7320"/>
    <w:rsid w:val="004C0DBC"/>
    <w:rsid w:val="004C6C93"/>
    <w:rsid w:val="004C725E"/>
    <w:rsid w:val="004E3FA8"/>
    <w:rsid w:val="004E69C1"/>
    <w:rsid w:val="004E6FB7"/>
    <w:rsid w:val="004F3DF2"/>
    <w:rsid w:val="004F5597"/>
    <w:rsid w:val="004F5D54"/>
    <w:rsid w:val="005124DF"/>
    <w:rsid w:val="005164D0"/>
    <w:rsid w:val="005208D4"/>
    <w:rsid w:val="00541BAC"/>
    <w:rsid w:val="00541BC9"/>
    <w:rsid w:val="00564E1B"/>
    <w:rsid w:val="0056636F"/>
    <w:rsid w:val="00567946"/>
    <w:rsid w:val="0057041B"/>
    <w:rsid w:val="00575828"/>
    <w:rsid w:val="00582261"/>
    <w:rsid w:val="005A47F0"/>
    <w:rsid w:val="005B54EB"/>
    <w:rsid w:val="005C194A"/>
    <w:rsid w:val="005D21A7"/>
    <w:rsid w:val="005F3560"/>
    <w:rsid w:val="006223A4"/>
    <w:rsid w:val="00643FE2"/>
    <w:rsid w:val="00646A3D"/>
    <w:rsid w:val="00647004"/>
    <w:rsid w:val="00650374"/>
    <w:rsid w:val="00663E4C"/>
    <w:rsid w:val="00681B76"/>
    <w:rsid w:val="00681E7D"/>
    <w:rsid w:val="00685BFB"/>
    <w:rsid w:val="00697278"/>
    <w:rsid w:val="006B009D"/>
    <w:rsid w:val="006B12F8"/>
    <w:rsid w:val="006B5A9A"/>
    <w:rsid w:val="006C2904"/>
    <w:rsid w:val="006D26F5"/>
    <w:rsid w:val="006E49A9"/>
    <w:rsid w:val="006E65BF"/>
    <w:rsid w:val="0071035F"/>
    <w:rsid w:val="007154FC"/>
    <w:rsid w:val="007272DF"/>
    <w:rsid w:val="00730FFF"/>
    <w:rsid w:val="00735573"/>
    <w:rsid w:val="00773807"/>
    <w:rsid w:val="007860B8"/>
    <w:rsid w:val="0078680C"/>
    <w:rsid w:val="007D3E91"/>
    <w:rsid w:val="007D7871"/>
    <w:rsid w:val="007E11D3"/>
    <w:rsid w:val="007E5D58"/>
    <w:rsid w:val="007F50C1"/>
    <w:rsid w:val="00802C8A"/>
    <w:rsid w:val="00805F26"/>
    <w:rsid w:val="00810B1F"/>
    <w:rsid w:val="00815778"/>
    <w:rsid w:val="008163DE"/>
    <w:rsid w:val="00822D94"/>
    <w:rsid w:val="008261A1"/>
    <w:rsid w:val="00840BA0"/>
    <w:rsid w:val="008500E5"/>
    <w:rsid w:val="0085372A"/>
    <w:rsid w:val="008554BB"/>
    <w:rsid w:val="0086552E"/>
    <w:rsid w:val="00867801"/>
    <w:rsid w:val="00887CE9"/>
    <w:rsid w:val="008A3BDF"/>
    <w:rsid w:val="008B2812"/>
    <w:rsid w:val="008F5228"/>
    <w:rsid w:val="0090100E"/>
    <w:rsid w:val="00906A32"/>
    <w:rsid w:val="009161FD"/>
    <w:rsid w:val="0091666F"/>
    <w:rsid w:val="00916D13"/>
    <w:rsid w:val="0093448B"/>
    <w:rsid w:val="00941934"/>
    <w:rsid w:val="00945334"/>
    <w:rsid w:val="009565D3"/>
    <w:rsid w:val="00960003"/>
    <w:rsid w:val="00973031"/>
    <w:rsid w:val="00981ACE"/>
    <w:rsid w:val="009A74C8"/>
    <w:rsid w:val="009A7C39"/>
    <w:rsid w:val="009C605E"/>
    <w:rsid w:val="009D0624"/>
    <w:rsid w:val="00A00477"/>
    <w:rsid w:val="00A16450"/>
    <w:rsid w:val="00A20FC0"/>
    <w:rsid w:val="00A27E14"/>
    <w:rsid w:val="00A32794"/>
    <w:rsid w:val="00A3500B"/>
    <w:rsid w:val="00A36A34"/>
    <w:rsid w:val="00A43461"/>
    <w:rsid w:val="00A6214D"/>
    <w:rsid w:val="00A6590D"/>
    <w:rsid w:val="00A77426"/>
    <w:rsid w:val="00A87810"/>
    <w:rsid w:val="00AA6322"/>
    <w:rsid w:val="00AA799B"/>
    <w:rsid w:val="00AD41F8"/>
    <w:rsid w:val="00AE6D0E"/>
    <w:rsid w:val="00B007FB"/>
    <w:rsid w:val="00B01DA2"/>
    <w:rsid w:val="00B040EE"/>
    <w:rsid w:val="00B0481E"/>
    <w:rsid w:val="00B12554"/>
    <w:rsid w:val="00B1628C"/>
    <w:rsid w:val="00B16E7F"/>
    <w:rsid w:val="00B20115"/>
    <w:rsid w:val="00B24095"/>
    <w:rsid w:val="00B31BC9"/>
    <w:rsid w:val="00B40C94"/>
    <w:rsid w:val="00B440BE"/>
    <w:rsid w:val="00B52601"/>
    <w:rsid w:val="00B71B18"/>
    <w:rsid w:val="00B828AB"/>
    <w:rsid w:val="00B926EE"/>
    <w:rsid w:val="00B97639"/>
    <w:rsid w:val="00BA041B"/>
    <w:rsid w:val="00BD071B"/>
    <w:rsid w:val="00BE7F78"/>
    <w:rsid w:val="00C06280"/>
    <w:rsid w:val="00C16C71"/>
    <w:rsid w:val="00C252F9"/>
    <w:rsid w:val="00C3258A"/>
    <w:rsid w:val="00C41D5E"/>
    <w:rsid w:val="00C828A4"/>
    <w:rsid w:val="00C9245B"/>
    <w:rsid w:val="00CA770D"/>
    <w:rsid w:val="00CB09F8"/>
    <w:rsid w:val="00CB479A"/>
    <w:rsid w:val="00CD3219"/>
    <w:rsid w:val="00CD7E1F"/>
    <w:rsid w:val="00CE48DE"/>
    <w:rsid w:val="00CF06F2"/>
    <w:rsid w:val="00D0580A"/>
    <w:rsid w:val="00D11865"/>
    <w:rsid w:val="00D2754E"/>
    <w:rsid w:val="00D427CE"/>
    <w:rsid w:val="00D42B17"/>
    <w:rsid w:val="00D975E2"/>
    <w:rsid w:val="00DA2A47"/>
    <w:rsid w:val="00DB2F9F"/>
    <w:rsid w:val="00DC6EFF"/>
    <w:rsid w:val="00DE2878"/>
    <w:rsid w:val="00DF7796"/>
    <w:rsid w:val="00E068F7"/>
    <w:rsid w:val="00E12A13"/>
    <w:rsid w:val="00E24978"/>
    <w:rsid w:val="00E437FE"/>
    <w:rsid w:val="00E44004"/>
    <w:rsid w:val="00E52002"/>
    <w:rsid w:val="00E522E3"/>
    <w:rsid w:val="00E76116"/>
    <w:rsid w:val="00E812A9"/>
    <w:rsid w:val="00E822B1"/>
    <w:rsid w:val="00E84F7F"/>
    <w:rsid w:val="00E879DE"/>
    <w:rsid w:val="00EA73BF"/>
    <w:rsid w:val="00EB2E88"/>
    <w:rsid w:val="00EC1666"/>
    <w:rsid w:val="00EC1F51"/>
    <w:rsid w:val="00EC4DF7"/>
    <w:rsid w:val="00ED6E1A"/>
    <w:rsid w:val="00EE08B0"/>
    <w:rsid w:val="00EE4B06"/>
    <w:rsid w:val="00EF3F65"/>
    <w:rsid w:val="00F02119"/>
    <w:rsid w:val="00F21F04"/>
    <w:rsid w:val="00F224C7"/>
    <w:rsid w:val="00F3123F"/>
    <w:rsid w:val="00F5168F"/>
    <w:rsid w:val="00F5334B"/>
    <w:rsid w:val="00F66E8A"/>
    <w:rsid w:val="00F70555"/>
    <w:rsid w:val="00F73D96"/>
    <w:rsid w:val="00F92190"/>
    <w:rsid w:val="00FA0982"/>
    <w:rsid w:val="00FA3897"/>
    <w:rsid w:val="00FA5D96"/>
    <w:rsid w:val="00FB397D"/>
    <w:rsid w:val="00FC0144"/>
    <w:rsid w:val="00FF2A5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2"/>
    <w:rsid w:val="00C16C7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D058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580A"/>
  </w:style>
  <w:style w:type="paragraph" w:styleId="Footer">
    <w:name w:val="footer"/>
    <w:basedOn w:val="Normal"/>
    <w:link w:val="FooterChar"/>
    <w:uiPriority w:val="99"/>
    <w:unhideWhenUsed/>
    <w:rsid w:val="00D058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580A"/>
  </w:style>
  <w:style w:type="paragraph" w:styleId="BalloonText">
    <w:name w:val="Balloon Text"/>
    <w:basedOn w:val="Normal"/>
    <w:link w:val="BalloonTextChar"/>
    <w:uiPriority w:val="99"/>
    <w:semiHidden/>
    <w:unhideWhenUsed/>
    <w:rsid w:val="001F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E6B"/>
    <w:rPr>
      <w:rFonts w:ascii="Tahoma" w:hAnsi="Tahoma" w:cs="Tahoma"/>
      <w:sz w:val="16"/>
      <w:szCs w:val="16"/>
    </w:rPr>
  </w:style>
  <w:style w:type="table" w:styleId="MediumGrid1-Accent2">
    <w:name w:val="Medium Grid 1 Accent 2"/>
    <w:basedOn w:val="TableNormal"/>
    <w:uiPriority w:val="67"/>
    <w:rsid w:val="008A3BD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65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7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879"/>
    <w:rPr>
      <w:sz w:val="20"/>
      <w:szCs w:val="20"/>
    </w:rPr>
  </w:style>
  <w:style w:type="character" w:styleId="FootnoteReference">
    <w:name w:val="footnote reference"/>
    <w:basedOn w:val="DefaultParagraphFont"/>
    <w:uiPriority w:val="99"/>
    <w:semiHidden/>
    <w:unhideWhenUsed/>
    <w:rsid w:val="001D7879"/>
    <w:rPr>
      <w:vertAlign w:val="superscript"/>
    </w:rPr>
  </w:style>
  <w:style w:type="table" w:styleId="MediumGrid1-Accent6">
    <w:name w:val="Medium Grid 1 Accent 6"/>
    <w:basedOn w:val="TableNormal"/>
    <w:uiPriority w:val="67"/>
    <w:rsid w:val="00681B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DA2A47"/>
    <w:rPr>
      <w:color w:val="0000FF" w:themeColor="hyperlink"/>
      <w:u w:val="single"/>
    </w:rPr>
  </w:style>
  <w:style w:type="character" w:styleId="FollowedHyperlink">
    <w:name w:val="FollowedHyperlink"/>
    <w:basedOn w:val="DefaultParagraphFont"/>
    <w:uiPriority w:val="99"/>
    <w:semiHidden/>
    <w:unhideWhenUsed/>
    <w:rsid w:val="0091666F"/>
    <w:rPr>
      <w:color w:val="800080" w:themeColor="followedHyperlink"/>
      <w:u w:val="single"/>
    </w:rPr>
  </w:style>
  <w:style w:type="paragraph" w:styleId="ListParagraph">
    <w:name w:val="List Paragraph"/>
    <w:basedOn w:val="Normal"/>
    <w:uiPriority w:val="34"/>
    <w:qFormat/>
    <w:rsid w:val="00EB2E88"/>
    <w:pPr>
      <w:ind w:left="720"/>
      <w:contextualSpacing/>
    </w:pPr>
  </w:style>
  <w:style w:type="character" w:styleId="CommentReference">
    <w:name w:val="annotation reference"/>
    <w:basedOn w:val="DefaultParagraphFont"/>
    <w:uiPriority w:val="99"/>
    <w:semiHidden/>
    <w:unhideWhenUsed/>
    <w:rsid w:val="000505DF"/>
    <w:rPr>
      <w:sz w:val="16"/>
      <w:szCs w:val="16"/>
    </w:rPr>
  </w:style>
  <w:style w:type="paragraph" w:styleId="CommentText">
    <w:name w:val="annotation text"/>
    <w:basedOn w:val="Normal"/>
    <w:link w:val="CommentTextChar"/>
    <w:uiPriority w:val="99"/>
    <w:semiHidden/>
    <w:unhideWhenUsed/>
    <w:rsid w:val="000505DF"/>
    <w:pPr>
      <w:spacing w:line="240" w:lineRule="auto"/>
    </w:pPr>
    <w:rPr>
      <w:sz w:val="20"/>
      <w:szCs w:val="20"/>
    </w:rPr>
  </w:style>
  <w:style w:type="character" w:customStyle="1" w:styleId="CommentTextChar">
    <w:name w:val="Comment Text Char"/>
    <w:basedOn w:val="DefaultParagraphFont"/>
    <w:link w:val="CommentText"/>
    <w:uiPriority w:val="99"/>
    <w:semiHidden/>
    <w:rsid w:val="000505DF"/>
    <w:rPr>
      <w:sz w:val="20"/>
      <w:szCs w:val="20"/>
    </w:rPr>
  </w:style>
  <w:style w:type="paragraph" w:styleId="CommentSubject">
    <w:name w:val="annotation subject"/>
    <w:basedOn w:val="CommentText"/>
    <w:next w:val="CommentText"/>
    <w:link w:val="CommentSubjectChar"/>
    <w:uiPriority w:val="99"/>
    <w:semiHidden/>
    <w:unhideWhenUsed/>
    <w:rsid w:val="000505DF"/>
    <w:rPr>
      <w:b/>
      <w:bCs/>
    </w:rPr>
  </w:style>
  <w:style w:type="character" w:customStyle="1" w:styleId="CommentSubjectChar">
    <w:name w:val="Comment Subject Char"/>
    <w:basedOn w:val="CommentTextChar"/>
    <w:link w:val="CommentSubject"/>
    <w:uiPriority w:val="99"/>
    <w:semiHidden/>
    <w:rsid w:val="000505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2"/>
    <w:rsid w:val="00C16C7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Header">
    <w:name w:val="header"/>
    <w:basedOn w:val="Normal"/>
    <w:link w:val="HeaderChar"/>
    <w:uiPriority w:val="99"/>
    <w:unhideWhenUsed/>
    <w:rsid w:val="00D058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580A"/>
  </w:style>
  <w:style w:type="paragraph" w:styleId="Footer">
    <w:name w:val="footer"/>
    <w:basedOn w:val="Normal"/>
    <w:link w:val="FooterChar"/>
    <w:uiPriority w:val="99"/>
    <w:unhideWhenUsed/>
    <w:rsid w:val="00D058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580A"/>
  </w:style>
  <w:style w:type="paragraph" w:styleId="BalloonText">
    <w:name w:val="Balloon Text"/>
    <w:basedOn w:val="Normal"/>
    <w:link w:val="BalloonTextChar"/>
    <w:uiPriority w:val="99"/>
    <w:semiHidden/>
    <w:unhideWhenUsed/>
    <w:rsid w:val="001F3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E6B"/>
    <w:rPr>
      <w:rFonts w:ascii="Tahoma" w:hAnsi="Tahoma" w:cs="Tahoma"/>
      <w:sz w:val="16"/>
      <w:szCs w:val="16"/>
    </w:rPr>
  </w:style>
  <w:style w:type="table" w:styleId="MediumGrid1-Accent2">
    <w:name w:val="Medium Grid 1 Accent 2"/>
    <w:basedOn w:val="TableNormal"/>
    <w:uiPriority w:val="67"/>
    <w:rsid w:val="008A3BD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65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7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879"/>
    <w:rPr>
      <w:sz w:val="20"/>
      <w:szCs w:val="20"/>
    </w:rPr>
  </w:style>
  <w:style w:type="character" w:styleId="FootnoteReference">
    <w:name w:val="footnote reference"/>
    <w:basedOn w:val="DefaultParagraphFont"/>
    <w:uiPriority w:val="99"/>
    <w:semiHidden/>
    <w:unhideWhenUsed/>
    <w:rsid w:val="001D7879"/>
    <w:rPr>
      <w:vertAlign w:val="superscript"/>
    </w:rPr>
  </w:style>
  <w:style w:type="table" w:styleId="MediumGrid1-Accent6">
    <w:name w:val="Medium Grid 1 Accent 6"/>
    <w:basedOn w:val="TableNormal"/>
    <w:uiPriority w:val="67"/>
    <w:rsid w:val="00681B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DA2A47"/>
    <w:rPr>
      <w:color w:val="0000FF" w:themeColor="hyperlink"/>
      <w:u w:val="single"/>
    </w:rPr>
  </w:style>
  <w:style w:type="character" w:styleId="FollowedHyperlink">
    <w:name w:val="FollowedHyperlink"/>
    <w:basedOn w:val="DefaultParagraphFont"/>
    <w:uiPriority w:val="99"/>
    <w:semiHidden/>
    <w:unhideWhenUsed/>
    <w:rsid w:val="0091666F"/>
    <w:rPr>
      <w:color w:val="800080" w:themeColor="followedHyperlink"/>
      <w:u w:val="single"/>
    </w:rPr>
  </w:style>
  <w:style w:type="paragraph" w:styleId="ListParagraph">
    <w:name w:val="List Paragraph"/>
    <w:basedOn w:val="Normal"/>
    <w:uiPriority w:val="34"/>
    <w:qFormat/>
    <w:rsid w:val="00EB2E88"/>
    <w:pPr>
      <w:ind w:left="720"/>
      <w:contextualSpacing/>
    </w:pPr>
  </w:style>
  <w:style w:type="character" w:styleId="CommentReference">
    <w:name w:val="annotation reference"/>
    <w:basedOn w:val="DefaultParagraphFont"/>
    <w:uiPriority w:val="99"/>
    <w:semiHidden/>
    <w:unhideWhenUsed/>
    <w:rsid w:val="000505DF"/>
    <w:rPr>
      <w:sz w:val="16"/>
      <w:szCs w:val="16"/>
    </w:rPr>
  </w:style>
  <w:style w:type="paragraph" w:styleId="CommentText">
    <w:name w:val="annotation text"/>
    <w:basedOn w:val="Normal"/>
    <w:link w:val="CommentTextChar"/>
    <w:uiPriority w:val="99"/>
    <w:semiHidden/>
    <w:unhideWhenUsed/>
    <w:rsid w:val="000505DF"/>
    <w:pPr>
      <w:spacing w:line="240" w:lineRule="auto"/>
    </w:pPr>
    <w:rPr>
      <w:sz w:val="20"/>
      <w:szCs w:val="20"/>
    </w:rPr>
  </w:style>
  <w:style w:type="character" w:customStyle="1" w:styleId="CommentTextChar">
    <w:name w:val="Comment Text Char"/>
    <w:basedOn w:val="DefaultParagraphFont"/>
    <w:link w:val="CommentText"/>
    <w:uiPriority w:val="99"/>
    <w:semiHidden/>
    <w:rsid w:val="000505DF"/>
    <w:rPr>
      <w:sz w:val="20"/>
      <w:szCs w:val="20"/>
    </w:rPr>
  </w:style>
  <w:style w:type="paragraph" w:styleId="CommentSubject">
    <w:name w:val="annotation subject"/>
    <w:basedOn w:val="CommentText"/>
    <w:next w:val="CommentText"/>
    <w:link w:val="CommentSubjectChar"/>
    <w:uiPriority w:val="99"/>
    <w:semiHidden/>
    <w:unhideWhenUsed/>
    <w:rsid w:val="000505DF"/>
    <w:rPr>
      <w:b/>
      <w:bCs/>
    </w:rPr>
  </w:style>
  <w:style w:type="character" w:customStyle="1" w:styleId="CommentSubjectChar">
    <w:name w:val="Comment Subject Char"/>
    <w:basedOn w:val="CommentTextChar"/>
    <w:link w:val="CommentSubject"/>
    <w:uiPriority w:val="99"/>
    <w:semiHidden/>
    <w:rsid w:val="00050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n.gov.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rs/imgres?imgurl=http://bif.rs/wp-content/uploads/2014/01/finansiranje-msp.jpg&amp;imgrefurl=http://bif.rs/2014/01/kada-je-malo-dovoljno-veliko-mala-preduzeca-i-velike-dileme/&amp;h=666&amp;w=1000&amp;tbnid=cZi4iX_TuxoM2M:&amp;docid=4GUejrizGjldYM&amp;ei=SP3_VonkDKfw6ASKx7rgDg&amp;tbm=isch&amp;ved=0ahUKEwiJqJy0ufDLAhUnOJoKHYqjDuw4kAMQMwheKFowW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internal_market/publicprocurement/docs/sme_code_of_best_practices_en.pdf" TargetMode="External"/><Relationship Id="rId13" Type="http://schemas.openxmlformats.org/officeDocument/2006/relationships/hyperlink" Target="https://www.pianoo.nl/about-pianoo" TargetMode="External"/><Relationship Id="rId3" Type="http://schemas.openxmlformats.org/officeDocument/2006/relationships/hyperlink" Target="http://eur-lex.europa.eu/legal-content/EN/TXT/PDF/?uri=CELEX:52008DC0394&amp;from=EN" TargetMode="External"/><Relationship Id="rId7" Type="http://schemas.openxmlformats.org/officeDocument/2006/relationships/hyperlink" Target="http://www.ujn.gov.rs/ci/about/info_rad" TargetMode="External"/><Relationship Id="rId12" Type="http://schemas.openxmlformats.org/officeDocument/2006/relationships/hyperlink" Target="http://webarchive.nationalarchives.gov.uk/20110822131357/http:/www.ogc.gov.uk/documents/CP0083_Small_supplier_better_value.pdf" TargetMode="External"/><Relationship Id="rId17" Type="http://schemas.openxmlformats.org/officeDocument/2006/relationships/hyperlink" Target="http://ec.europa.eu/growth/smes/support/late-payment/campaign/index_en.htm" TargetMode="External"/><Relationship Id="rId2" Type="http://schemas.openxmlformats.org/officeDocument/2006/relationships/hyperlink" Target="http://ec.europa.eu/growth/smes/business-friendly-environment/performance-review/files/supporting-documents/2014/annual-report-smes-2014_en.pdf" TargetMode="External"/><Relationship Id="rId16" Type="http://schemas.openxmlformats.org/officeDocument/2006/relationships/hyperlink" Target="http://www.apr.gov.rs/%D0%A0%D0%B5%D0%B3%D0%B8%D1%81%D1%82%D1%80%D0%B8/%D0%9F%D0%BE%D0%BD%D1%83%D1%92%D0%B0%D1%87%D0%B8.aspx" TargetMode="External"/><Relationship Id="rId1" Type="http://schemas.openxmlformats.org/officeDocument/2006/relationships/hyperlink" Target="http://www.pks.rs/PrivredaSrbije.aspx?id=20" TargetMode="External"/><Relationship Id="rId6" Type="http://schemas.openxmlformats.org/officeDocument/2006/relationships/hyperlink" Target="http://www.ujn.gov.rs/ci/contact.html" TargetMode="External"/><Relationship Id="rId11" Type="http://schemas.openxmlformats.org/officeDocument/2006/relationships/hyperlink" Target="http://www.ujn.gov.rs/ci.html" TargetMode="External"/><Relationship Id="rId5" Type="http://schemas.openxmlformats.org/officeDocument/2006/relationships/hyperlink" Target="http://www.srbija.gov.rs/vesti/dokumenti_sekcija.php?id=45678" TargetMode="External"/><Relationship Id="rId15" Type="http://schemas.openxmlformats.org/officeDocument/2006/relationships/hyperlink" Target="http://ec.europa.eu/small-business/index_en.htm" TargetMode="External"/><Relationship Id="rId10" Type="http://schemas.openxmlformats.org/officeDocument/2006/relationships/hyperlink" Target="http://www.srbija.gov.rs/vesti/dokumenti_sekcija.php?id=45678" TargetMode="External"/><Relationship Id="rId4" Type="http://schemas.openxmlformats.org/officeDocument/2006/relationships/hyperlink" Target="http://www.srbija.gov.rs/vesti/dokumenti_sekcija.php?id=45678" TargetMode="External"/><Relationship Id="rId9" Type="http://schemas.openxmlformats.org/officeDocument/2006/relationships/hyperlink" Target="http://ec.europa.eu/internal_market/publicprocurement/docs/sme_code_of_best_practices_en.pdf" TargetMode="External"/><Relationship Id="rId14" Type="http://schemas.openxmlformats.org/officeDocument/2006/relationships/hyperlink" Target="http://www.secteurpublic.asso.fr/Club-Secteur-Public/Les-travaux/Guide-pratique-pour-la-reponse-des-PME-a-la-commande-publ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813C-C458-4B16-8386-F019CCA2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19</Pages>
  <Words>5691</Words>
  <Characters>32444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Ražić</dc:creator>
  <cp:lastModifiedBy>obraddo</cp:lastModifiedBy>
  <cp:revision>6</cp:revision>
  <cp:lastPrinted>2016-07-27T07:54:00Z</cp:lastPrinted>
  <dcterms:created xsi:type="dcterms:W3CDTF">2016-08-01T05:43:00Z</dcterms:created>
  <dcterms:modified xsi:type="dcterms:W3CDTF">2016-08-01T11:14:00Z</dcterms:modified>
</cp:coreProperties>
</file>